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4"/>
        <w:pageBreakBefore w:val="false"/>
        <w:spacing w:lineRule="auto" w:line="240" w:before="0" w:after="0"/>
        <w:contextualSpacing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Политика использования cookie</w:t>
      </w:r>
    </w:p>
    <w:tbl>
      <w:tblPr>
        <w:tblW w:w="9663" w:type="dxa"/>
        <w:jc w:val="left"/>
        <w:tblInd w:w="122" w:type="dxa"/>
        <w:tblLayout w:type="fixed"/>
        <w:tblCellMar>
          <w:top w:w="60" w:type="dxa"/>
          <w:left w:w="100" w:type="dxa"/>
          <w:bottom w:w="60" w:type="dxa"/>
          <w:right w:w="100" w:type="dxa"/>
        </w:tblCellMar>
        <w:tblLook w:val="04a0" w:noHBand="0" w:noVBand="1" w:firstColumn="1" w:lastRow="0" w:lastColumn="0" w:firstRow="1"/>
      </w:tblPr>
      <w:tblGrid>
        <w:gridCol w:w="1913"/>
        <w:gridCol w:w="7749"/>
      </w:tblGrid>
      <w:tr>
        <w:trPr/>
        <w:tc>
          <w:tcPr>
            <w:tcW w:w="1913" w:type="dxa"/>
            <w:tcBorders>
              <w:top w:val="single" w:sz="2" w:space="0" w:color="D9E2F3"/>
              <w:left w:val="single" w:sz="2" w:space="0" w:color="D9E2F3"/>
              <w:bottom w:val="single" w:sz="2" w:space="0" w:color="D9E2F3"/>
              <w:right w:val="single" w:sz="2" w:space="0" w:color="D9E2F3"/>
            </w:tcBorders>
            <w:shd w:fill="F2F4F7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Версия</w:t>
            </w:r>
          </w:p>
        </w:tc>
        <w:tc>
          <w:tcPr>
            <w:tcW w:w="7749" w:type="dxa"/>
            <w:tcBorders>
              <w:top w:val="single" w:sz="2" w:space="0" w:color="D9E2F3"/>
              <w:left w:val="single" w:sz="2" w:space="0" w:color="D9E2F3"/>
              <w:bottom w:val="single" w:sz="2" w:space="0" w:color="D9E2F3"/>
              <w:right w:val="single" w:sz="2" w:space="0" w:color="D9E2F3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1.0</w:t>
            </w:r>
          </w:p>
        </w:tc>
      </w:tr>
      <w:tr>
        <w:trPr/>
        <w:tc>
          <w:tcPr>
            <w:tcW w:w="1913" w:type="dxa"/>
            <w:tcBorders>
              <w:top w:val="single" w:sz="2" w:space="0" w:color="D9E2F3"/>
              <w:left w:val="single" w:sz="2" w:space="0" w:color="D9E2F3"/>
              <w:bottom w:val="single" w:sz="2" w:space="0" w:color="D9E2F3"/>
              <w:right w:val="single" w:sz="2" w:space="0" w:color="D9E2F3"/>
            </w:tcBorders>
            <w:shd w:fill="F2F4F7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Дата редакции</w:t>
            </w:r>
          </w:p>
        </w:tc>
        <w:tc>
          <w:tcPr>
            <w:tcW w:w="7749" w:type="dxa"/>
            <w:tcBorders>
              <w:top w:val="single" w:sz="2" w:space="0" w:color="D9E2F3"/>
              <w:left w:val="single" w:sz="2" w:space="0" w:color="D9E2F3"/>
              <w:bottom w:val="single" w:sz="2" w:space="0" w:color="D9E2F3"/>
              <w:right w:val="single" w:sz="2" w:space="0" w:color="D9E2F3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19 августа 2026 г.</w:t>
            </w:r>
          </w:p>
        </w:tc>
      </w:tr>
    </w:tbl>
    <w:p>
      <w:pPr>
        <w:pStyle w:val="Normal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1. Назначение Политики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Настоящая Политика использования cookie объясняет, какие технологии применяются на сайте https://businessmaket.ru/, для чего они нужны и как пользователь может управлять ими. Оператор сайта — ООО «БИЗНЕСМАКЕТ»; реквизиты и контакты приведены в Политике обработки персональных данных.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Под cookie понимаются файлы и аналогичные идентификаторы, которые браузер или устройство сохраняет либо передает при обращении к сайту, включая локальное хранилище и технические идентификаторы согласия. Некоторые сведения в сочетании с IP-адресом и иными параметрами могут относиться к персональным данным.</w:t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2. Категории технологий</w:t>
      </w:r>
    </w:p>
    <w:tbl>
      <w:tblPr>
        <w:tblStyle w:val="TableGrid"/>
        <w:tblW w:w="9613" w:type="dxa"/>
        <w:jc w:val="left"/>
        <w:tblInd w:w="104" w:type="dxa"/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noHBand="0" w:noVBand="1" w:firstColumn="1" w:lastRow="0" w:lastColumn="0" w:firstRow="1"/>
      </w:tblPr>
      <w:tblGrid>
        <w:gridCol w:w="2325"/>
        <w:gridCol w:w="2438"/>
        <w:gridCol w:w="2424"/>
        <w:gridCol w:w="2425"/>
      </w:tblGrid>
      <w:tr>
        <w:trPr>
          <w:tblHeader w:val="true"/>
        </w:trPr>
        <w:tc>
          <w:tcPr>
            <w:tcW w:w="23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fill="DCE6F1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b/>
                <w:color w:val="000000"/>
                <w:kern w:val="0"/>
                <w:sz w:val="22"/>
                <w:szCs w:val="22"/>
                <w:lang w:val="en-US" w:eastAsia="en-US" w:bidi="ar-SA"/>
              </w:rPr>
              <w:t>Категория</w:t>
            </w:r>
          </w:p>
        </w:tc>
        <w:tc>
          <w:tcPr>
            <w:tcW w:w="2438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fill="DCE6F1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b/>
                <w:color w:val="000000"/>
                <w:kern w:val="0"/>
                <w:sz w:val="22"/>
                <w:szCs w:val="22"/>
                <w:lang w:val="en-US" w:eastAsia="en-US" w:bidi="ar-SA"/>
              </w:rPr>
              <w:t>Назначение</w:t>
            </w:r>
          </w:p>
        </w:tc>
        <w:tc>
          <w:tcPr>
            <w:tcW w:w="2424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fill="DCE6F1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b/>
                <w:color w:val="000000"/>
                <w:kern w:val="0"/>
                <w:sz w:val="22"/>
                <w:szCs w:val="22"/>
                <w:lang w:val="en-US" w:eastAsia="en-US" w:bidi="ar-SA"/>
              </w:rPr>
              <w:t>Когда активируется</w:t>
            </w:r>
          </w:p>
        </w:tc>
        <w:tc>
          <w:tcPr>
            <w:tcW w:w="24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fill="DCE6F1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b/>
                <w:color w:val="000000"/>
                <w:kern w:val="0"/>
                <w:sz w:val="22"/>
                <w:szCs w:val="22"/>
                <w:lang w:val="en-US" w:eastAsia="en-US" w:bidi="ar-SA"/>
              </w:rPr>
              <w:t>Обычный срок</w:t>
            </w:r>
          </w:p>
        </w:tc>
      </w:tr>
      <w:tr>
        <w:trPr>
          <w:cantSplit w:val="true"/>
        </w:trPr>
        <w:tc>
          <w:tcPr>
            <w:tcW w:w="23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Строго необходимые</w:t>
            </w:r>
          </w:p>
        </w:tc>
        <w:tc>
          <w:tcPr>
            <w:tcW w:w="2438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Безопасность, передача формы, работа интерфейса, балансировка нагрузки, сохранение выбранных настроек конфиденциальности</w:t>
            </w:r>
          </w:p>
        </w:tc>
        <w:tc>
          <w:tcPr>
            <w:tcW w:w="2424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При обращении к сайту, поскольку без них соответствующая функция не может работать безопасно</w:t>
            </w:r>
          </w:p>
        </w:tc>
        <w:tc>
          <w:tcPr>
            <w:tcW w:w="24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Сеанс либо до 12 месяцев для записи выбора; конкретный срок зависит от назначения</w:t>
            </w:r>
          </w:p>
        </w:tc>
      </w:tr>
      <w:tr>
        <w:trPr>
          <w:cantSplit w:val="true"/>
        </w:trPr>
        <w:tc>
          <w:tcPr>
            <w:tcW w:w="23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Функциональные</w:t>
            </w:r>
          </w:p>
        </w:tc>
        <w:tc>
          <w:tcPr>
            <w:tcW w:w="2438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Запоминание необязательных пользовательских настроек и включение внешнего содержимого по запросу</w:t>
            </w:r>
          </w:p>
        </w:tc>
        <w:tc>
          <w:tcPr>
            <w:tcW w:w="2424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После выбора соответствующей настройки или явного действия пользователя</w:t>
            </w:r>
          </w:p>
        </w:tc>
        <w:tc>
          <w:tcPr>
            <w:tcW w:w="24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До 12 месяцев либо до очистки браузера</w:t>
            </w:r>
          </w:p>
        </w:tc>
      </w:tr>
      <w:tr>
        <w:trPr>
          <w:cantSplit w:val="true"/>
        </w:trPr>
        <w:tc>
          <w:tcPr>
            <w:tcW w:w="23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Аналитические</w:t>
            </w:r>
          </w:p>
        </w:tc>
        <w:tc>
          <w:tcPr>
            <w:tcW w:w="2438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Измерение посещаемости, источников перехода, технических ошибок и взаимодействия со страницами; может использоваться «Яндекс Метрика», в том числе вебвизор</w:t>
            </w:r>
          </w:p>
        </w:tc>
        <w:tc>
          <w:tcPr>
            <w:tcW w:w="2424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Только после согласия на аналитику</w:t>
            </w:r>
          </w:p>
        </w:tc>
        <w:tc>
          <w:tcPr>
            <w:tcW w:w="24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По настройкам сервиса и не дольше, чем это необходимо; согласие запрашивается повторно не реже одного раза в 12 месяцев</w:t>
            </w:r>
          </w:p>
        </w:tc>
      </w:tr>
      <w:tr>
        <w:trPr>
          <w:cantSplit w:val="true"/>
        </w:trPr>
        <w:tc>
          <w:tcPr>
            <w:tcW w:w="23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Маркетинговые</w:t>
            </w:r>
          </w:p>
        </w:tc>
        <w:tc>
          <w:tcPr>
            <w:tcW w:w="2438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Оценка рекламных кампаний, формирование аудиторий и персонализация рекламы</w:t>
            </w:r>
          </w:p>
        </w:tc>
        <w:tc>
          <w:tcPr>
            <w:tcW w:w="2424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Только после отдельного выбора, если такие технологии фактически подключены</w:t>
            </w:r>
          </w:p>
        </w:tc>
        <w:tc>
          <w:tcPr>
            <w:tcW w:w="242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По настройкам сервиса или до отзыва согласия</w:t>
            </w:r>
          </w:p>
        </w:tc>
      </w:tr>
    </w:tbl>
    <w:p>
      <w:pPr>
        <w:pStyle w:val="Normal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3. Используемые поставщики</w:t>
      </w:r>
    </w:p>
    <w:tbl>
      <w:tblPr>
        <w:tblStyle w:val="TableGrid"/>
        <w:tblW w:w="9563" w:type="dxa"/>
        <w:jc w:val="left"/>
        <w:tblInd w:w="154" w:type="dxa"/>
        <w:tblLayout w:type="fixed"/>
        <w:tblCellMar>
          <w:top w:w="80" w:type="dxa"/>
          <w:left w:w="120" w:type="dxa"/>
          <w:bottom w:w="80" w:type="dxa"/>
          <w:right w:w="120" w:type="dxa"/>
        </w:tblCellMar>
        <w:tblLook w:val="04a0" w:noHBand="0" w:noVBand="1" w:firstColumn="1" w:lastRow="0" w:lastColumn="0" w:firstRow="1"/>
      </w:tblPr>
      <w:tblGrid>
        <w:gridCol w:w="3100"/>
        <w:gridCol w:w="3224"/>
        <w:gridCol w:w="3239"/>
      </w:tblGrid>
      <w:tr>
        <w:trPr>
          <w:tblHeader w:val="true"/>
        </w:trPr>
        <w:tc>
          <w:tcPr>
            <w:tcW w:w="31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fill="DCE6F1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b/>
                <w:color w:val="000000"/>
                <w:kern w:val="0"/>
                <w:sz w:val="22"/>
                <w:szCs w:val="22"/>
                <w:lang w:val="en-US" w:eastAsia="en-US" w:bidi="ar-SA"/>
              </w:rPr>
              <w:t>Поставщик / компонент</w:t>
            </w:r>
          </w:p>
        </w:tc>
        <w:tc>
          <w:tcPr>
            <w:tcW w:w="3224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fill="DCE6F1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b/>
                <w:color w:val="000000"/>
                <w:kern w:val="0"/>
                <w:sz w:val="22"/>
                <w:szCs w:val="22"/>
                <w:lang w:val="en-US" w:eastAsia="en-US" w:bidi="ar-SA"/>
              </w:rPr>
              <w:t>Возможные данные</w:t>
            </w:r>
          </w:p>
        </w:tc>
        <w:tc>
          <w:tcPr>
            <w:tcW w:w="3239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shd w:fill="DCE6F1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b/>
                <w:color w:val="000000"/>
                <w:kern w:val="0"/>
                <w:sz w:val="22"/>
                <w:szCs w:val="22"/>
                <w:lang w:val="en-US" w:eastAsia="en-US" w:bidi="ar-SA"/>
              </w:rPr>
              <w:t>Цель и условие</w:t>
            </w:r>
          </w:p>
        </w:tc>
      </w:tr>
      <w:tr>
        <w:trPr>
          <w:cantSplit w:val="true"/>
        </w:trPr>
        <w:tc>
          <w:tcPr>
            <w:tcW w:w="31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Собственные компоненты businessmaket.ru</w:t>
            </w:r>
          </w:p>
        </w:tc>
        <w:tc>
          <w:tcPr>
            <w:tcW w:w="3224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Технический идентификатор сеанса, защита формы, запись выбранных категорий</w:t>
            </w:r>
          </w:p>
        </w:tc>
        <w:tc>
          <w:tcPr>
            <w:tcW w:w="3239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Работа и защита сайта; необязательная функция - только после выбора</w:t>
            </w:r>
          </w:p>
        </w:tc>
      </w:tr>
      <w:tr>
        <w:trPr>
          <w:cantSplit w:val="true"/>
        </w:trPr>
        <w:tc>
          <w:tcPr>
            <w:tcW w:w="31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ООО «ЯНДЕКС»: Яндекс Метрика</w:t>
            </w:r>
          </w:p>
        </w:tc>
        <w:tc>
          <w:tcPr>
            <w:tcW w:w="3224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Онлайн-идентификаторы, IP-адрес и производные сведения о приблизительном местоположении, устройство, браузер, источник перехода, посещенные страницы и события взаимодействия</w:t>
            </w:r>
          </w:p>
        </w:tc>
        <w:tc>
          <w:tcPr>
            <w:tcW w:w="3239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Аналитика и улучшение сайта; активируется только после согласия на аналитические cookie</w:t>
            </w:r>
          </w:p>
        </w:tc>
      </w:tr>
      <w:tr>
        <w:trPr>
          <w:cantSplit w:val="true"/>
        </w:trPr>
        <w:tc>
          <w:tcPr>
            <w:tcW w:w="31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ООО «ЯНДЕКС»: Яндекс Карты</w:t>
            </w:r>
          </w:p>
        </w:tc>
        <w:tc>
          <w:tcPr>
            <w:tcW w:w="3224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IP-адрес, сведения о браузере и устройстве, события загрузки карты</w:t>
            </w:r>
          </w:p>
        </w:tc>
        <w:tc>
          <w:tcPr>
            <w:tcW w:w="3239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both"/>
              <w:rPr>
                <w:rFonts w:ascii="Times New Roman" w:hAnsi="Times New Roman" w:cs=""/>
                <w:color w:val="000000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cs="" w:ascii="Times New Roman" w:hAnsi="Times New Roman"/>
                <w:color w:val="000000"/>
                <w:kern w:val="0"/>
                <w:sz w:val="22"/>
                <w:szCs w:val="22"/>
                <w:lang w:val="en-US" w:eastAsia="en-US" w:bidi="ar-SA"/>
              </w:rPr>
              <w:t>Показ местоположения; загружается после нажатия «Показать карту» или согласия на функциональную категорию</w:t>
            </w:r>
          </w:p>
        </w:tc>
      </w:tr>
    </w:tbl>
    <w:p>
      <w:pPr>
        <w:pStyle w:val="Normal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3.2. Конкретные имена cookie, домены и сроки могут меняться при обновлении браузера или поставщика. Актуальные идентификаторы видны в средствах разработчика браузера и в панели «Настройки cookie». Оператор регулярно проводит сканирование сайта и обновляет перечень при изменениях.</w:t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4. Согласие и запись выбора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4.1. При первом посещении пользователь видит баннер с равнозначными вариантами: принять все необязательные технологии, отклонить их или настроить категории. Отсутствие действия, прокрутка страницы или продолжение просмотра не считаются согласием.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4.2. Для подтверждения выбора Оператор может сохранять идентификатор согласия, выбранные категории, дату и время, версию баннера, источник и технические параметры, необходимые для доказательства выбора.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4.3. Пользователь может изменить решение через постоянную ссылку «Настройки cookie» в подвале сайта. После отзыва новые необязательные события не передаются; ранее установленные cookie можно удалить средствами браузера.</w:t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5. Управление в браузере</w:t>
      </w:r>
    </w:p>
    <w:p>
      <w:pPr>
        <w:pStyle w:val="1"/>
        <w:spacing w:lineRule="auto" w:line="240" w:before="0" w:after="0"/>
        <w:contextualSpacing/>
        <w:jc w:val="both"/>
        <w:rPr>
          <w:rFonts w:ascii="Times New Roman" w:hAnsi="Times New Roman"/>
          <w:b w:val="false"/>
          <w:b w:val="false"/>
          <w:bCs w:val="false"/>
          <w:color w:val="000000"/>
          <w:sz w:val="22"/>
          <w:szCs w:val="22"/>
        </w:rPr>
      </w:pPr>
      <w:r>
        <w:rPr>
          <w:rFonts w:ascii="Times New Roman" w:hAnsi="Times New Roman"/>
          <w:b w:val="false"/>
          <w:bCs w:val="false"/>
          <w:color w:val="000000"/>
          <w:sz w:val="22"/>
          <w:szCs w:val="22"/>
        </w:rPr>
        <w:t>- Откройте настройки конфиденциальности или данных сайтов в используемом браузере.</w:t>
      </w:r>
    </w:p>
    <w:p>
      <w:pPr>
        <w:pStyle w:val="1"/>
        <w:spacing w:lineRule="auto" w:line="240" w:before="0" w:after="0"/>
        <w:contextualSpacing/>
        <w:jc w:val="both"/>
        <w:rPr>
          <w:rFonts w:ascii="Times New Roman" w:hAnsi="Times New Roman"/>
          <w:b w:val="false"/>
          <w:b w:val="false"/>
          <w:bCs w:val="false"/>
          <w:color w:val="000000"/>
          <w:sz w:val="22"/>
          <w:szCs w:val="22"/>
        </w:rPr>
      </w:pPr>
      <w:r>
        <w:rPr>
          <w:rFonts w:ascii="Times New Roman" w:hAnsi="Times New Roman"/>
          <w:b w:val="false"/>
          <w:bCs w:val="false"/>
          <w:color w:val="000000"/>
          <w:sz w:val="22"/>
          <w:szCs w:val="22"/>
        </w:rPr>
        <w:t>- Найдите businessmaket.ru и при необходимости домены поставщиков, которым пользователь ранее дал доступ.</w:t>
      </w:r>
    </w:p>
    <w:p>
      <w:pPr>
        <w:pStyle w:val="1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bCs w:val="false"/>
          <w:color w:val="000000"/>
          <w:sz w:val="22"/>
          <w:szCs w:val="22"/>
        </w:rPr>
        <w:t>- Удалите сохраненные cookie или запретите их использование. Блокирование строго необходимых cookie может нарушить работу отдельных функций.</w:t>
      </w:r>
    </w:p>
    <w:p>
      <w:pPr>
        <w:pStyle w:val="1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Настройки браузера действуют на конкретном устройстве и в конкретном профиле. При использовании другого устройства или после очистки хранилища выбор может потребоваться повторно.</w:t>
      </w:r>
    </w:p>
    <w:p>
      <w:pPr>
        <w:pStyle w:val="1"/>
        <w:keepNext w:val="true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1"/>
        <w:spacing w:lineRule="auto" w:line="240" w:before="0" w:after="0"/>
        <w:contextualSpacing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6. Изменения и контакты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 xml:space="preserve">Политика пересматривается при изменении состава технологий, целей или законодательства. 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Дата действующей редакции указана в начале документа. Существенное изменение необязательных целей требует нового выбора пользователя.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b w:val="false"/>
          <w:i w:val="false"/>
          <w:color w:val="000000"/>
          <w:sz w:val="22"/>
          <w:szCs w:val="22"/>
        </w:rPr>
        <w:t>Вопросы о cookie можно направить на info@maketbm.ru. Общие правила обработки и права субъекта приведены в Политике обработки персональных данных.</w:t>
      </w:r>
    </w:p>
    <w:sectPr>
      <w:headerReference w:type="default" r:id="rId2"/>
      <w:footerReference w:type="default" r:id="rId3"/>
      <w:type w:val="nextPage"/>
      <w:pgSz w:w="11906" w:h="16838"/>
      <w:pgMar w:left="1191" w:right="1020" w:header="482" w:top="1134" w:footer="454" w:bottom="1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3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2"/>
      <w:pBdr>
        <w:bottom w:val="single" w:sz="6" w:space="2" w:color="B4C6E7"/>
      </w:pBdr>
      <w:jc w:val="left"/>
      <w:rPr/>
    </w:pPr>
    <w:r>
      <w:rPr>
        <w:b/>
        <w:color w:val="2E74B5"/>
        <w:sz w:val="16"/>
      </w:rPr>
      <w:t>BIZNESMAKET|</w:t>
    </w:r>
    <w:r>
      <w:rPr>
        <w:color w:val="44546A"/>
        <w:sz w:val="16"/>
      </w:rPr>
      <w:t>Политика использования cookie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suppressAutoHyphens w:val="true"/>
      <w:bidi w:val="0"/>
      <w:spacing w:lineRule="auto" w:line="264" w:before="0" w:after="120"/>
      <w:jc w:val="left"/>
    </w:pPr>
    <w:rPr>
      <w:rFonts w:ascii="Calibri" w:hAnsi="Calibri" w:eastAsia="Calibri" w:cs=""/>
      <w:color w:val="1F2937"/>
      <w:kern w:val="0"/>
      <w:sz w:val="21"/>
      <w:szCs w:val="22"/>
      <w:lang w:val="en-US" w:eastAsia="en-US" w:bidi="ar-SA"/>
    </w:rPr>
  </w:style>
  <w:style w:type="paragraph" w:styleId="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320" w:after="16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2E74B5"/>
      <w:sz w:val="32"/>
      <w:szCs w:val="28"/>
    </w:rPr>
  </w:style>
  <w:style w:type="paragraph" w:styleId="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40" w:after="12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2E74B5"/>
      <w:sz w:val="26"/>
      <w:szCs w:val="26"/>
    </w:rPr>
  </w:style>
  <w:style w:type="paragraph" w:styleId="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160" w:after="8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val="1F4D78"/>
      <w:sz w:val="23"/>
    </w:rPr>
  </w:style>
  <w:style w:type="paragraph" w:styleId="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val="243F60" w:themeColor="accent1" w:themeShade="7f"/>
    </w:rPr>
  </w:style>
  <w:style w:type="paragraph" w:styleId="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paragraph" w:styleId="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</w:rPr>
  </w:style>
  <w:style w:type="paragraph" w:styleId="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618bf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Text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Style5">
    <w:name w:val="Выделение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Style6">
    <w:name w:val="Заголовок"/>
    <w:basedOn w:val="Normal"/>
    <w:next w:val="Style7"/>
    <w:qFormat/>
    <w:pPr>
      <w:keepNext w:val="true"/>
      <w:spacing w:before="240" w:after="120"/>
    </w:pPr>
    <w:rPr>
      <w:rFonts w:ascii="Liberation Sans" w:hAnsi="Liberation Sans" w:eastAsia="Tahoma" w:cs="Noto Sans Devanagari"/>
      <w:sz w:val="28"/>
      <w:szCs w:val="28"/>
    </w:rPr>
  </w:style>
  <w:style w:type="paragraph" w:styleId="Style7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Style8">
    <w:name w:val="List"/>
    <w:basedOn w:val="Normal"/>
    <w:uiPriority w:val="99"/>
    <w:unhideWhenUsed/>
    <w:rsid w:val="00aa1d8d"/>
    <w:pPr>
      <w:spacing w:before="0" w:after="120"/>
      <w:ind w:left="360" w:hanging="360"/>
      <w:contextualSpacing/>
    </w:pPr>
    <w:rPr/>
  </w:style>
  <w:style w:type="paragraph" w:styleId="Style9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0">
    <w:name w:val="Указатель"/>
    <w:basedOn w:val="Normal"/>
    <w:qFormat/>
    <w:pPr>
      <w:suppressLineNumbers/>
    </w:pPr>
    <w:rPr>
      <w:rFonts w:cs="Noto Sans Devanagari"/>
    </w:rPr>
  </w:style>
  <w:style w:type="paragraph" w:styleId="Style11">
    <w:name w:val="Верхний и нижний колонтитулы"/>
    <w:basedOn w:val="Normal"/>
    <w:qFormat/>
    <w:pPr/>
    <w:rPr/>
  </w:style>
  <w:style w:type="paragraph" w:styleId="Style12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Style13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suppressAutoHyphens w:val="true"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Style14">
    <w:name w:val="Title"/>
    <w:basedOn w:val="Normal"/>
    <w:next w:val="Normal"/>
    <w:link w:val="TitleChar"/>
    <w:uiPriority w:val="10"/>
    <w:qFormat/>
    <w:rsid w:val="00fc693f"/>
    <w:pPr>
      <w:keepNext w:val="true"/>
      <w:pBdr>
        <w:bottom w:val="single" w:sz="8" w:space="4" w:color="4F81BD"/>
      </w:pBdr>
      <w:spacing w:lineRule="auto" w:line="240" w:before="0" w:after="280"/>
      <w:contextualSpacing/>
    </w:pPr>
    <w:rPr>
      <w:rFonts w:ascii="Calibri" w:hAnsi="Calibri" w:eastAsia="ＭＳ ゴシック" w:cs="" w:asciiTheme="majorHAnsi" w:cstheme="majorBidi" w:eastAsiaTheme="majorEastAsia" w:hAnsiTheme="majorHAnsi"/>
      <w:b/>
      <w:color w:val="17365D"/>
      <w:spacing w:val="5"/>
      <w:kern w:val="2"/>
      <w:sz w:val="44"/>
      <w:szCs w:val="52"/>
    </w:rPr>
  </w:style>
  <w:style w:type="paragraph" w:styleId="Style15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120"/>
      <w:ind w:left="720" w:hanging="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Bullet3">
    <w:name w:val="List Bullet 3"/>
    <w:basedOn w:val="Normal"/>
    <w:uiPriority w:val="99"/>
    <w:unhideWhenUsed/>
    <w:qFormat/>
    <w:rsid w:val="00326f90"/>
    <w:pPr>
      <w:numPr>
        <w:ilvl w:val="0"/>
        <w:numId w:val="3"/>
      </w:numPr>
      <w:spacing w:before="0" w:after="120"/>
      <w:contextualSpacing/>
    </w:pPr>
    <w:rPr/>
  </w:style>
  <w:style w:type="paragraph" w:styleId="ListBullet4">
    <w:name w:val="List Bullet 4"/>
    <w:basedOn w:val="Normal"/>
    <w:uiPriority w:val="99"/>
    <w:unhideWhenUsed/>
    <w:qFormat/>
    <w:rsid w:val="00326f90"/>
    <w:pPr>
      <w:spacing w:before="0" w:after="120"/>
      <w:ind w:left="1080" w:hanging="360"/>
      <w:contextualSpacing/>
    </w:pPr>
    <w:rPr/>
  </w:style>
  <w:style w:type="paragraph" w:styleId="ListBullet">
    <w:name w:val="List Bullet"/>
    <w:basedOn w:val="Normal"/>
    <w:uiPriority w:val="99"/>
    <w:unhideWhenUsed/>
    <w:qFormat/>
    <w:rsid w:val="00326f90"/>
    <w:pPr>
      <w:numPr>
        <w:ilvl w:val="0"/>
        <w:numId w:val="1"/>
      </w:numPr>
      <w:spacing w:before="0" w:after="120"/>
      <w:contextualSpacing/>
    </w:pPr>
    <w:rPr/>
  </w:style>
  <w:style w:type="paragraph" w:styleId="ListBullet2">
    <w:name w:val="List Bullet 2"/>
    <w:basedOn w:val="Normal"/>
    <w:uiPriority w:val="99"/>
    <w:unhideWhenUsed/>
    <w:qFormat/>
    <w:rsid w:val="00326f90"/>
    <w:pPr>
      <w:numPr>
        <w:ilvl w:val="0"/>
        <w:numId w:val="2"/>
      </w:numPr>
      <w:spacing w:before="0" w:after="120"/>
      <w:contextualSpacing/>
    </w:pPr>
    <w:rPr/>
  </w:style>
  <w:style w:type="paragraph" w:styleId="ListNumber">
    <w:name w:val="List Number"/>
    <w:basedOn w:val="Normal"/>
    <w:uiPriority w:val="99"/>
    <w:unhideWhenUsed/>
    <w:qFormat/>
    <w:rsid w:val="00326f90"/>
    <w:pPr>
      <w:numPr>
        <w:ilvl w:val="0"/>
        <w:numId w:val="4"/>
      </w:numPr>
      <w:spacing w:before="0" w:after="120"/>
      <w:contextualSpacing/>
    </w:pPr>
    <w:rPr/>
  </w:style>
  <w:style w:type="paragraph" w:styleId="ListNumber2">
    <w:name w:val="List Number 2"/>
    <w:basedOn w:val="Normal"/>
    <w:uiPriority w:val="99"/>
    <w:unhideWhenUsed/>
    <w:qFormat/>
    <w:rsid w:val="0029639d"/>
    <w:pPr>
      <w:numPr>
        <w:ilvl w:val="0"/>
        <w:numId w:val="5"/>
      </w:numPr>
      <w:spacing w:before="0" w:after="120"/>
      <w:contextualSpacing/>
    </w:pPr>
    <w:rPr/>
  </w:style>
  <w:style w:type="paragraph" w:styleId="ListNumber3">
    <w:name w:val="List Number 3"/>
    <w:basedOn w:val="Normal"/>
    <w:uiPriority w:val="99"/>
    <w:unhideWhenUsed/>
    <w:qFormat/>
    <w:rsid w:val="0029639d"/>
    <w:pPr>
      <w:numPr>
        <w:ilvl w:val="0"/>
        <w:numId w:val="6"/>
      </w:numPr>
      <w:spacing w:before="0" w:after="120"/>
      <w:contextualSpacing/>
    </w:pPr>
    <w:rPr/>
  </w:style>
  <w:style w:type="paragraph" w:styleId="ListContinue">
    <w:name w:val="List Continue"/>
    <w:basedOn w:val="Normal"/>
    <w:uiPriority w:val="99"/>
    <w:unhideWhenUsed/>
    <w:qFormat/>
    <w:rsid w:val="0029639d"/>
    <w:pPr>
      <w:spacing w:before="0" w:after="120"/>
      <w:ind w:left="360" w:hanging="0"/>
      <w:contextualSpacing/>
    </w:pPr>
    <w:rPr/>
  </w:style>
  <w:style w:type="paragraph" w:styleId="ListContinue2">
    <w:name w:val="List Continue 2"/>
    <w:basedOn w:val="Normal"/>
    <w:uiPriority w:val="99"/>
    <w:unhideWhenUsed/>
    <w:qFormat/>
    <w:rsid w:val="0029639d"/>
    <w:pPr>
      <w:spacing w:before="0" w:after="120"/>
      <w:ind w:left="720" w:hanging="0"/>
      <w:contextualSpacing/>
    </w:pPr>
    <w:rPr/>
  </w:style>
  <w:style w:type="paragraph" w:styleId="ListContinue3">
    <w:name w:val="List Continue 3"/>
    <w:basedOn w:val="Normal"/>
    <w:uiPriority w:val="99"/>
    <w:unhideWhenUsed/>
    <w:qFormat/>
    <w:rsid w:val="0029639d"/>
    <w:pPr>
      <w:spacing w:before="0" w:after="120"/>
      <w:ind w:left="1080" w:hanging="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suppressAutoHyphens w:val="true"/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val="000000" w:themeColor="text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val="4F81BD" w:themeColor="accent1"/>
      <w:sz w:val="18"/>
      <w:szCs w:val="1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/>
      </w:pBdr>
      <w:spacing w:before="200" w:after="280"/>
      <w:ind w:left="936" w:right="936" w:hanging="0"/>
    </w:pPr>
    <w:rPr>
      <w:b/>
      <w:bCs/>
      <w:i/>
      <w:iCs/>
      <w:color w:val="4F81BD" w:themeColor="accent1"/>
    </w:rPr>
  </w:style>
  <w:style w:type="paragraph" w:styleId="TOCHeading">
    <w:name w:val="TOC Heading"/>
    <w:basedOn w:val="1"/>
    <w:next w:val="Normal"/>
    <w:uiPriority w:val="39"/>
    <w:semiHidden/>
    <w:unhideWhenUsed/>
    <w:qFormat/>
    <w:rsid w:val="00fc693f"/>
    <w:pPr/>
    <w:rPr/>
  </w:style>
  <w:style w:type="paragraph" w:styleId="DocSubtitle" w:customStyle="1">
    <w:name w:val="Doc Subtitle"/>
    <w:basedOn w:val="Normal"/>
    <w:qFormat/>
    <w:pPr>
      <w:spacing w:lineRule="auto" w:line="259" w:before="0" w:after="100"/>
    </w:pPr>
    <w:rPr>
      <w:rFonts w:ascii="Calibri" w:hAnsi="Calibri" w:eastAsia="Calibri"/>
      <w:color w:val="44546A"/>
      <w:sz w:val="22"/>
    </w:rPr>
  </w:style>
  <w:style w:type="paragraph" w:styleId="DocMeta" w:customStyle="1">
    <w:name w:val="Doc Meta"/>
    <w:basedOn w:val="Normal"/>
    <w:qFormat/>
    <w:pPr>
      <w:spacing w:lineRule="auto" w:line="259" w:before="0" w:after="100"/>
    </w:pPr>
    <w:rPr>
      <w:rFonts w:ascii="Calibri" w:hAnsi="Calibri" w:eastAsia="Calibri"/>
      <w:color w:val="44546A"/>
      <w:sz w:val="18"/>
    </w:rPr>
  </w:style>
  <w:style w:type="paragraph" w:styleId="SmallText" w:customStyle="1">
    <w:name w:val="Small Text"/>
    <w:basedOn w:val="Normal"/>
    <w:qFormat/>
    <w:pPr>
      <w:spacing w:lineRule="auto" w:line="259" w:before="0" w:after="100"/>
    </w:pPr>
    <w:rPr>
      <w:rFonts w:ascii="Calibri" w:hAnsi="Calibri" w:eastAsia="Calibri"/>
      <w:color w:val="44546A"/>
      <w:sz w:val="17"/>
    </w:rPr>
  </w:style>
  <w:style w:type="paragraph" w:styleId="LegalBullet" w:customStyle="1">
    <w:name w:val="Legal Bullet"/>
    <w:basedOn w:val="Normal"/>
    <w:qFormat/>
    <w:pPr>
      <w:spacing w:lineRule="auto" w:line="259" w:before="0" w:after="100"/>
      <w:ind w:left="482" w:hanging="255"/>
    </w:pPr>
    <w:rPr>
      <w:rFonts w:ascii="Calibri" w:hAnsi="Calibri" w:eastAsia="Calibri"/>
      <w:color w:val="1F2937"/>
      <w:sz w:val="21"/>
    </w:rPr>
  </w:style>
  <w:style w:type="paragraph" w:styleId="LegalNumber" w:customStyle="1">
    <w:name w:val="Legal Number"/>
    <w:basedOn w:val="Normal"/>
    <w:qFormat/>
    <w:pPr>
      <w:spacing w:lineRule="auto" w:line="259" w:before="0" w:after="100"/>
      <w:ind w:left="482" w:hanging="255"/>
    </w:pPr>
    <w:rPr>
      <w:rFonts w:ascii="Calibri" w:hAnsi="Calibri" w:eastAsia="Calibri"/>
      <w:color w:val="1F2937"/>
      <w:sz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LibreOffice/7.0.4.2$Linux_X86_64 LibreOffice_project/dcf040e67528d9187c66b2379df5ea4407429775</Application>
  <AppVersion>15.0000</AppVersion>
  <Pages>2</Pages>
  <Words>556</Words>
  <Characters>3985</Characters>
  <CharactersWithSpaces>4485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/>
  <dc:description>generated by python-docx</dc:description>
  <cp:keywords>персональные персональные персональные персональные данные cookie сайт согласие</cp:keywords>
  <dc:language>ru-RU</dc:language>
  <cp:lastModifiedBy/>
  <dcterms:modified xsi:type="dcterms:W3CDTF">2026-08-19T14:58:26Z</dcterms:modified>
  <cp:revision>7</cp:revision>
  <dc:subject>Юридические документы для сайта businessmaket.ru</dc:subject>
  <dc:title>Политика использования cookie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