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pageBreakBefore w:val="false"/>
        <w:spacing w:lineRule="auto" w:line="240" w:before="0" w:after="0"/>
        <w:contextualSpacing/>
        <w:jc w:val="center"/>
        <w:rPr>
          <w:b/>
          <w:b/>
          <w:bCs/>
        </w:rPr>
      </w:pPr>
      <w:r>
        <w:rPr>
          <w:rFonts w:ascii="Times New Roman" w:hAnsi="Times New Roman"/>
          <w:b/>
          <w:bCs/>
          <w:color w:val="000000"/>
          <w:sz w:val="24"/>
          <w:szCs w:val="24"/>
        </w:rPr>
        <w:t>Согласие на обработку персональных данных</w:t>
      </w:r>
    </w:p>
    <w:p>
      <w:pPr>
        <w:pStyle w:val="Normal"/>
        <w:spacing w:lineRule="auto" w:line="240" w:before="0" w:after="0"/>
        <w:contextualSpacing/>
        <w:jc w:val="center"/>
        <w:rPr>
          <w:b/>
          <w:b/>
          <w:bCs/>
        </w:rPr>
      </w:pPr>
      <w:r>
        <w:rPr>
          <w:rFonts w:ascii="Times New Roman" w:hAnsi="Times New Roman"/>
          <w:b/>
          <w:bCs/>
          <w:color w:val="000000"/>
          <w:sz w:val="24"/>
          <w:szCs w:val="24"/>
        </w:rPr>
        <w:t>Для форм обратной связи, заявки и запроса расчета</w:t>
      </w:r>
    </w:p>
    <w:p>
      <w:pPr>
        <w:pStyle w:val="Normal"/>
        <w:spacing w:lineRule="auto" w:line="240" w:before="0" w:after="0"/>
        <w:contextualSpacing/>
        <w:jc w:val="center"/>
        <w:rPr>
          <w:rFonts w:ascii="Times New Roman" w:hAnsi="Times New Roman"/>
          <w:color w:val="000000"/>
          <w:sz w:val="24"/>
          <w:szCs w:val="24"/>
        </w:rPr>
      </w:pPr>
      <w:r>
        <w:rPr>
          <w:rFonts w:ascii="Times New Roman" w:hAnsi="Times New Roman"/>
          <w:color w:val="000000"/>
          <w:sz w:val="24"/>
          <w:szCs w:val="24"/>
        </w:rPr>
      </w:r>
    </w:p>
    <w:tbl>
      <w:tblPr>
        <w:tblW w:w="9638" w:type="dxa"/>
        <w:jc w:val="left"/>
        <w:tblInd w:w="147" w:type="dxa"/>
        <w:tblLayout w:type="fixed"/>
        <w:tblCellMar>
          <w:top w:w="60" w:type="dxa"/>
          <w:left w:w="100" w:type="dxa"/>
          <w:bottom w:w="60" w:type="dxa"/>
          <w:right w:w="100" w:type="dxa"/>
        </w:tblCellMar>
        <w:tblLook w:val="04a0" w:noHBand="0" w:noVBand="1" w:firstColumn="1" w:lastRow="0" w:lastColumn="0" w:firstRow="1"/>
      </w:tblPr>
      <w:tblGrid>
        <w:gridCol w:w="1888"/>
        <w:gridCol w:w="7749"/>
      </w:tblGrid>
      <w:tr>
        <w:trPr/>
        <w:tc>
          <w:tcPr>
            <w:tcW w:w="1888" w:type="dxa"/>
            <w:tcBorders>
              <w:top w:val="single" w:sz="2" w:space="0" w:color="D9E2F3"/>
              <w:left w:val="single" w:sz="2" w:space="0" w:color="D9E2F3"/>
              <w:bottom w:val="single" w:sz="2" w:space="0" w:color="D9E2F3"/>
              <w:right w:val="single" w:sz="2" w:space="0" w:color="D9E2F3"/>
            </w:tcBorders>
            <w:shd w:fill="F2F4F7"/>
            <w:vAlign w:val="center"/>
          </w:tcPr>
          <w:p>
            <w:pPr>
              <w:pStyle w:val="Normal"/>
              <w:widowControl w:val="false"/>
              <w:spacing w:lineRule="auto" w:line="240" w:before="0" w:after="0"/>
              <w:contextualSpacing/>
              <w:rPr>
                <w:rFonts w:ascii="Times New Roman" w:hAnsi="Times New Roman"/>
                <w:color w:val="000000"/>
                <w:sz w:val="24"/>
                <w:szCs w:val="24"/>
              </w:rPr>
            </w:pPr>
            <w:r>
              <w:rPr>
                <w:rFonts w:ascii="Times New Roman" w:hAnsi="Times New Roman"/>
                <w:b/>
                <w:color w:val="000000"/>
                <w:sz w:val="24"/>
                <w:szCs w:val="24"/>
              </w:rPr>
              <w:t>Версия</w:t>
            </w:r>
          </w:p>
        </w:tc>
        <w:tc>
          <w:tcPr>
            <w:tcW w:w="7749" w:type="dxa"/>
            <w:tcBorders>
              <w:top w:val="single" w:sz="2" w:space="0" w:color="D9E2F3"/>
              <w:left w:val="single" w:sz="2" w:space="0" w:color="D9E2F3"/>
              <w:bottom w:val="single" w:sz="2" w:space="0" w:color="D9E2F3"/>
              <w:right w:val="single" w:sz="2" w:space="0" w:color="D9E2F3"/>
            </w:tcBorders>
            <w:vAlign w:val="center"/>
          </w:tcPr>
          <w:p>
            <w:pPr>
              <w:pStyle w:val="Normal"/>
              <w:widowControl w:val="false"/>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t>1.0</w:t>
            </w:r>
          </w:p>
        </w:tc>
      </w:tr>
      <w:tr>
        <w:trPr/>
        <w:tc>
          <w:tcPr>
            <w:tcW w:w="1888" w:type="dxa"/>
            <w:tcBorders>
              <w:top w:val="single" w:sz="2" w:space="0" w:color="D9E2F3"/>
              <w:left w:val="single" w:sz="2" w:space="0" w:color="D9E2F3"/>
              <w:bottom w:val="single" w:sz="2" w:space="0" w:color="D9E2F3"/>
              <w:right w:val="single" w:sz="2" w:space="0" w:color="D9E2F3"/>
            </w:tcBorders>
            <w:shd w:fill="F2F4F7"/>
            <w:vAlign w:val="center"/>
          </w:tcPr>
          <w:p>
            <w:pPr>
              <w:pStyle w:val="Normal"/>
              <w:widowControl w:val="false"/>
              <w:spacing w:lineRule="auto" w:line="240" w:before="0" w:after="0"/>
              <w:contextualSpacing/>
              <w:rPr>
                <w:rFonts w:ascii="Times New Roman" w:hAnsi="Times New Roman"/>
                <w:color w:val="000000"/>
                <w:sz w:val="24"/>
                <w:szCs w:val="24"/>
              </w:rPr>
            </w:pPr>
            <w:r>
              <w:rPr>
                <w:rFonts w:ascii="Times New Roman" w:hAnsi="Times New Roman"/>
                <w:b/>
                <w:color w:val="000000"/>
                <w:sz w:val="24"/>
                <w:szCs w:val="24"/>
              </w:rPr>
              <w:t>Дата редакции</w:t>
            </w:r>
          </w:p>
        </w:tc>
        <w:tc>
          <w:tcPr>
            <w:tcW w:w="7749" w:type="dxa"/>
            <w:tcBorders>
              <w:top w:val="single" w:sz="2" w:space="0" w:color="D9E2F3"/>
              <w:left w:val="single" w:sz="2" w:space="0" w:color="D9E2F3"/>
              <w:bottom w:val="single" w:sz="2" w:space="0" w:color="D9E2F3"/>
              <w:right w:val="single" w:sz="2" w:space="0" w:color="D9E2F3"/>
            </w:tcBorders>
            <w:vAlign w:val="center"/>
          </w:tcPr>
          <w:p>
            <w:pPr>
              <w:pStyle w:val="Normal"/>
              <w:widowControl w:val="false"/>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t>19 августа 2026 г.</w:t>
            </w:r>
          </w:p>
        </w:tc>
      </w:tr>
    </w:tbl>
    <w:p>
      <w:pPr>
        <w:pStyle w:val="Normal"/>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val="false"/>
          <w:i w:val="false"/>
          <w:color w:val="000000"/>
          <w:sz w:val="24"/>
          <w:szCs w:val="24"/>
        </w:rPr>
        <w:t>Проставляя отметку в поле согласия и нажимая кнопку отправки формы на сайте https://businessmaket.ru/, я свободно, своей волей и в своем интересе даю Общество с ограниченной ответственностью «БИЗНЕСМАКЕТ» (ООО «БИЗНЕСМАКЕТ»), ОГРН 5137746162659, ИНН 7743909303, адрес: 125362, г. Москва, ул. Свободы, д. 35, стр. 5, помещ. 1, ком. 33, согласие на обработку моих персональных данных на следующих условиях.</w:t>
      </w:r>
    </w:p>
    <w:p>
      <w:pPr>
        <w:pStyle w:val="Normal"/>
        <w:spacing w:lineRule="auto" w:line="240" w:before="0" w:after="0"/>
        <w:contextualSpacing/>
        <w:jc w:val="both"/>
        <w:rPr>
          <w:rFonts w:ascii="Times New Roman" w:hAnsi="Times New Roman"/>
          <w:b/>
          <w:b/>
          <w:bCs/>
          <w:color w:val="000000"/>
          <w:sz w:val="24"/>
          <w:szCs w:val="24"/>
        </w:rPr>
      </w:pPr>
      <w:r>
        <w:rPr>
          <w:rFonts w:ascii="Times New Roman" w:hAnsi="Times New Roman"/>
          <w:b/>
          <w:bCs/>
          <w:color w:val="000000"/>
          <w:sz w:val="24"/>
          <w:szCs w:val="24"/>
        </w:rPr>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bCs/>
          <w:color w:val="000000"/>
          <w:sz w:val="24"/>
          <w:szCs w:val="24"/>
        </w:rPr>
        <w:t>1. Цели обработки</w:t>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bCs/>
          <w:color w:val="000000"/>
          <w:sz w:val="24"/>
          <w:szCs w:val="24"/>
        </w:rPr>
        <w:t xml:space="preserve">- </w:t>
      </w:r>
      <w:r>
        <w:rPr>
          <w:rFonts w:ascii="Times New Roman" w:hAnsi="Times New Roman"/>
          <w:color w:val="000000"/>
          <w:sz w:val="24"/>
          <w:szCs w:val="24"/>
        </w:rPr>
        <w:t>принять, зарегистрировать и рассмотреть мое обращение;</w:t>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color w:val="000000"/>
          <w:sz w:val="24"/>
          <w:szCs w:val="24"/>
        </w:rPr>
        <w:t xml:space="preserve">- </w:t>
      </w:r>
      <w:r>
        <w:rPr>
          <w:rFonts w:ascii="Times New Roman" w:hAnsi="Times New Roman"/>
          <w:color w:val="000000"/>
          <w:sz w:val="24"/>
          <w:szCs w:val="24"/>
        </w:rPr>
        <w:t>связаться со мной выбранным или разумно ожидаемым способом;</w:t>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color w:val="000000"/>
          <w:sz w:val="24"/>
          <w:szCs w:val="24"/>
        </w:rPr>
        <w:t xml:space="preserve">- </w:t>
      </w:r>
      <w:r>
        <w:rPr>
          <w:rFonts w:ascii="Times New Roman" w:hAnsi="Times New Roman"/>
          <w:color w:val="000000"/>
          <w:sz w:val="24"/>
          <w:szCs w:val="24"/>
        </w:rPr>
        <w:t>уточнить требования, подготовить расчет, коммерческое предложение или материалы к переговорам;</w:t>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color w:val="000000"/>
          <w:sz w:val="24"/>
          <w:szCs w:val="24"/>
        </w:rPr>
        <w:t xml:space="preserve">- </w:t>
      </w:r>
      <w:r>
        <w:rPr>
          <w:rFonts w:ascii="Times New Roman" w:hAnsi="Times New Roman"/>
          <w:color w:val="000000"/>
          <w:sz w:val="24"/>
          <w:szCs w:val="24"/>
        </w:rPr>
        <w:t>сохранить историю обращения для продолжения коммуникации и подтверждения достигнутых договоренностей.</w:t>
      </w:r>
    </w:p>
    <w:p>
      <w:pPr>
        <w:pStyle w:val="Normal"/>
        <w:spacing w:lineRule="auto" w:line="240" w:before="0" w:after="0"/>
        <w:contextualSpacing/>
        <w:jc w:val="both"/>
        <w:rPr>
          <w:b w:val="false"/>
          <w:b w:val="false"/>
          <w:i w:val="false"/>
          <w:i w:val="false"/>
        </w:rPr>
      </w:pPr>
      <w:r>
        <w:rPr>
          <w:b w:val="false"/>
          <w:i w:val="false"/>
        </w:rPr>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val="false"/>
          <w:i w:val="false"/>
          <w:color w:val="000000"/>
          <w:sz w:val="24"/>
          <w:szCs w:val="24"/>
        </w:rPr>
        <w:t>Настоящее согласие не распространяется на рекламные рассылки, необязательную веб-аналитику и публичное распространение сведений. Для них используются отдельные основания и отдельные элементы выбора.</w:t>
      </w:r>
    </w:p>
    <w:p>
      <w:pPr>
        <w:pStyle w:val="2"/>
        <w:keepNext w:val="true"/>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r>
    </w:p>
    <w:p>
      <w:pPr>
        <w:pStyle w:val="2"/>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t>2. Перечень данных</w:t>
      </w:r>
    </w:p>
    <w:p>
      <w:pPr>
        <w:pStyle w:val="2"/>
        <w:spacing w:lineRule="auto" w:line="240" w:before="0" w:after="0"/>
        <w:contextualSpacing/>
        <w:jc w:val="both"/>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t>- имя;</w:t>
      </w:r>
    </w:p>
    <w:p>
      <w:pPr>
        <w:pStyle w:val="2"/>
        <w:spacing w:lineRule="auto" w:line="240" w:before="0" w:after="0"/>
        <w:contextualSpacing/>
        <w:jc w:val="both"/>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t>- номер телефона;</w:t>
      </w:r>
    </w:p>
    <w:p>
      <w:pPr>
        <w:pStyle w:val="2"/>
        <w:spacing w:lineRule="auto" w:line="240" w:before="0" w:after="0"/>
        <w:contextualSpacing/>
        <w:jc w:val="both"/>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t>- адрес электронной почты, если он указан;</w:t>
      </w:r>
    </w:p>
    <w:p>
      <w:pPr>
        <w:pStyle w:val="2"/>
        <w:spacing w:lineRule="auto" w:line="240" w:before="0" w:after="0"/>
        <w:contextualSpacing/>
        <w:jc w:val="both"/>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t>- наименование компании и должность, если они указаны;</w:t>
      </w:r>
    </w:p>
    <w:p>
      <w:pPr>
        <w:pStyle w:val="2"/>
        <w:spacing w:lineRule="auto" w:line="240" w:before="0" w:after="0"/>
        <w:contextualSpacing/>
        <w:jc w:val="both"/>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t>- содержание сообщения, выбранная услуга и предпочтительный способ связи;</w:t>
      </w:r>
    </w:p>
    <w:p>
      <w:pPr>
        <w:pStyle w:val="2"/>
        <w:spacing w:lineRule="auto" w:line="240" w:before="0" w:after="0"/>
        <w:contextualSpacing/>
        <w:jc w:val="both"/>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t>- данные в добровольно загруженном файле;</w:t>
      </w:r>
    </w:p>
    <w:p>
      <w:pPr>
        <w:pStyle w:val="2"/>
        <w:spacing w:lineRule="auto" w:line="240" w:before="0" w:after="0"/>
        <w:contextualSpacing/>
        <w:jc w:val="both"/>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t>- технические сведения, подтверждающие отправку и согласие: дата и время, IP-адрес, идентификатор формы, версия текста согласия, сведения о браузере и результате отправки.</w:t>
      </w:r>
    </w:p>
    <w:p>
      <w:pPr>
        <w:pStyle w:val="Normal"/>
        <w:spacing w:lineRule="auto" w:line="240" w:before="0" w:after="0"/>
        <w:contextualSpacing/>
        <w:jc w:val="both"/>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r>
    </w:p>
    <w:tbl>
      <w:tblPr>
        <w:tblW w:w="9600" w:type="dxa"/>
        <w:jc w:val="left"/>
        <w:tblInd w:w="157" w:type="dxa"/>
        <w:tblLayout w:type="fixed"/>
        <w:tblCellMar>
          <w:top w:w="120" w:type="dxa"/>
          <w:left w:w="160" w:type="dxa"/>
          <w:bottom w:w="120" w:type="dxa"/>
          <w:right w:w="160" w:type="dxa"/>
        </w:tblCellMar>
        <w:tblLook w:val="04a0" w:noHBand="0" w:noVBand="1" w:firstColumn="1" w:lastRow="0" w:lastColumn="0" w:firstRow="1"/>
      </w:tblPr>
      <w:tblGrid>
        <w:gridCol w:w="9600"/>
      </w:tblGrid>
      <w:tr>
        <w:trPr/>
        <w:tc>
          <w:tcPr>
            <w:tcW w:w="9600" w:type="dxa"/>
            <w:tcBorders>
              <w:top w:val="single" w:sz="4" w:space="0" w:color="B4C6E7"/>
              <w:left w:val="single" w:sz="4" w:space="0" w:color="B4C6E7"/>
              <w:bottom w:val="single" w:sz="4" w:space="0" w:color="B4C6E7"/>
              <w:right w:val="single" w:sz="4" w:space="0" w:color="B4C6E7"/>
            </w:tcBorders>
            <w:shd w:fill="EEF4F9"/>
          </w:tcPr>
          <w:p>
            <w:pPr>
              <w:pStyle w:val="Normal"/>
              <w:widowControl w:val="false"/>
              <w:spacing w:lineRule="auto" w:line="240" w:before="0" w:after="0"/>
              <w:contextualSpacing/>
              <w:jc w:val="both"/>
              <w:rPr>
                <w:rFonts w:ascii="Times New Roman" w:hAnsi="Times New Roman"/>
                <w:i/>
                <w:i/>
                <w:iCs/>
                <w:color w:val="000000"/>
                <w:sz w:val="24"/>
                <w:szCs w:val="24"/>
              </w:rPr>
            </w:pPr>
            <w:r>
              <w:rPr>
                <w:rFonts w:ascii="Times New Roman" w:hAnsi="Times New Roman"/>
                <w:b/>
                <w:i/>
                <w:iCs/>
                <w:color w:val="000000"/>
                <w:sz w:val="24"/>
                <w:szCs w:val="24"/>
              </w:rPr>
              <w:t>Ограничение для файлов</w:t>
            </w:r>
          </w:p>
          <w:p>
            <w:pPr>
              <w:pStyle w:val="Normal"/>
              <w:widowControl w:val="false"/>
              <w:spacing w:lineRule="auto" w:line="240" w:before="0" w:after="0"/>
              <w:contextualSpacing/>
              <w:jc w:val="both"/>
              <w:rPr>
                <w:rFonts w:ascii="Times New Roman" w:hAnsi="Times New Roman"/>
                <w:i/>
                <w:i/>
                <w:iCs/>
                <w:color w:val="000000"/>
                <w:sz w:val="24"/>
                <w:szCs w:val="24"/>
              </w:rPr>
            </w:pPr>
            <w:r>
              <w:rPr>
                <w:rFonts w:ascii="Times New Roman" w:hAnsi="Times New Roman"/>
                <w:i/>
                <w:iCs/>
                <w:color w:val="000000"/>
                <w:sz w:val="24"/>
                <w:szCs w:val="24"/>
              </w:rPr>
              <w:t>Не прикладывайте паспортные данные, сведения о здоровье, платежные реквизиты, государственные идентификаторы и конфиденциальные сведения третьих лиц, если Оператор прямо не запросил их по защищенному каналу.</w:t>
            </w:r>
          </w:p>
        </w:tc>
      </w:tr>
    </w:tbl>
    <w:p>
      <w:pPr>
        <w:pStyle w:val="Normal"/>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r>
    </w:p>
    <w:p>
      <w:pPr>
        <w:pStyle w:val="2"/>
        <w:keepNext w:val="true"/>
        <w:spacing w:lineRule="auto" w:line="240" w:before="0" w:after="0"/>
        <w:contextualSpacing/>
        <w:jc w:val="both"/>
        <w:rPr>
          <w:rFonts w:ascii="Times New Roman" w:hAnsi="Times New Roman"/>
          <w:color w:val="000000"/>
          <w:sz w:val="24"/>
          <w:szCs w:val="24"/>
        </w:rPr>
      </w:pPr>
      <w:r>
        <w:rPr>
          <w:rFonts w:ascii="Times New Roman" w:hAnsi="Times New Roman"/>
          <w:color w:val="000000"/>
          <w:sz w:val="24"/>
          <w:szCs w:val="24"/>
        </w:rPr>
        <w:t>3. Действия и способы обработки</w:t>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val="false"/>
          <w:i w:val="false"/>
          <w:color w:val="000000"/>
          <w:sz w:val="24"/>
          <w:szCs w:val="24"/>
        </w:rPr>
        <w:t>Согласие предоставляется на сбор, запись, систематизацию, накопление, хранение, уточнение, извлечение, использование, передачу лицам, обрабатывающим данные по поручению Оператора, блокирование, удаление и уничтожение. Обработка может быть автоматизированной, неавтоматизированной или смешанной.</w:t>
      </w:r>
    </w:p>
    <w:p>
      <w:pPr>
        <w:pStyle w:val="2"/>
        <w:keepNext w:val="true"/>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r>
    </w:p>
    <w:p>
      <w:pPr>
        <w:pStyle w:val="2"/>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t>4. Привлекаемые лица</w:t>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val="false"/>
          <w:i w:val="false"/>
          <w:color w:val="000000"/>
          <w:sz w:val="24"/>
          <w:szCs w:val="24"/>
        </w:rPr>
        <w:t>Оператор вправе поручить обработку российским поставщикам хостинга, корпоративной электронной почты, CRM, телефонии, резервного копирования и технической поддержки исключительно в объеме, необходимом для указанных целей, при наличии договора с требованиями о конфиденциальности, безопасности, локализации, уведомлении об инцидентах и удалении данных.</w:t>
      </w:r>
    </w:p>
    <w:p>
      <w:pPr>
        <w:pStyle w:val="2"/>
        <w:keepNext w:val="true"/>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t>5. Срок действия</w:t>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val="false"/>
          <w:i w:val="false"/>
          <w:color w:val="000000"/>
          <w:sz w:val="24"/>
          <w:szCs w:val="24"/>
        </w:rPr>
        <w:t>Согласие действует до достижения целей, но не более 12 месяцев после последнего содержательного контакта, если до этого не отозвано. Загруженный файл, не ставший частью договорной документации, удаляется не позднее 90 дней после завершения ответа. Если заключается договор, дальнейшая обработка необходимых данных осуществляется на договорных и законных основаниях в применимые сроки хранения.</w:t>
      </w:r>
    </w:p>
    <w:p>
      <w:pPr>
        <w:pStyle w:val="2"/>
        <w:keepNext w:val="true"/>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r>
    </w:p>
    <w:p>
      <w:pPr>
        <w:pStyle w:val="2"/>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t>6. Отзыв</w:t>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val="false"/>
          <w:i w:val="false"/>
          <w:color w:val="000000"/>
          <w:sz w:val="24"/>
          <w:szCs w:val="24"/>
        </w:rPr>
        <w:t>Согласие можно отозвать сообщением на info@maketbm.ru с темой «Отзыв согласия на обработку персональных данных» либо письменным обращением по адресу Оператора. Следует указать использованный контакт и сведения, позволяющие найти обращение.</w:t>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val="false"/>
          <w:i w:val="false"/>
          <w:color w:val="000000"/>
          <w:sz w:val="24"/>
          <w:szCs w:val="24"/>
        </w:rPr>
        <w:t>После получения отзыва Оператор прекращает обработку на основании согласия и удаляет данные в предусмотренный законом срок, если их сохранение не требуется для исполнения договора, закона или защиты прав. Отзыв не влияет на законность обработки до его получения.</w:t>
      </w:r>
    </w:p>
    <w:p>
      <w:pPr>
        <w:pStyle w:val="2"/>
        <w:keepNext w:val="true"/>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r>
    </w:p>
    <w:p>
      <w:pPr>
        <w:pStyle w:val="2"/>
        <w:spacing w:lineRule="auto" w:line="240" w:before="0" w:after="0"/>
        <w:contextualSpacing/>
        <w:rPr>
          <w:rFonts w:ascii="Times New Roman" w:hAnsi="Times New Roman"/>
          <w:color w:val="000000"/>
          <w:sz w:val="24"/>
          <w:szCs w:val="24"/>
        </w:rPr>
      </w:pPr>
      <w:r>
        <w:rPr>
          <w:rFonts w:ascii="Times New Roman" w:hAnsi="Times New Roman"/>
          <w:color w:val="000000"/>
          <w:sz w:val="24"/>
          <w:szCs w:val="24"/>
        </w:rPr>
        <w:t>7. Подтверждение</w:t>
      </w:r>
    </w:p>
    <w:p>
      <w:pPr>
        <w:pStyle w:val="Normal"/>
        <w:spacing w:lineRule="auto" w:line="240" w:before="0" w:after="0"/>
        <w:contextualSpacing/>
        <w:jc w:val="both"/>
        <w:rPr>
          <w:rFonts w:ascii="Times New Roman" w:hAnsi="Times New Roman"/>
          <w:color w:val="000000"/>
          <w:sz w:val="24"/>
          <w:szCs w:val="24"/>
        </w:rPr>
      </w:pPr>
      <w:r>
        <w:rPr>
          <w:rFonts w:ascii="Times New Roman" w:hAnsi="Times New Roman"/>
          <w:b w:val="false"/>
          <w:i w:val="false"/>
          <w:color w:val="000000"/>
          <w:sz w:val="24"/>
          <w:szCs w:val="24"/>
        </w:rPr>
        <w:t>Я подтверждаю, что указал(а) достоверные сведения, ознакомился(лась) с Политикой обработки персональных данных и понимаю, что при непредоставлении данных Оператор не сможет обработать электронную форму и подготовить ответ.</w:t>
      </w:r>
    </w:p>
    <w:p>
      <w:pPr>
        <w:pStyle w:val="2"/>
        <w:keepNext w:val="true"/>
        <w:spacing w:lineRule="auto" w:line="240" w:before="0" w:after="0"/>
        <w:contextualSpacing/>
        <w:rPr>
          <w:rFonts w:ascii="Times New Roman" w:hAnsi="Times New Roman"/>
          <w:color w:val="000000"/>
          <w:sz w:val="24"/>
          <w:szCs w:val="24"/>
        </w:rPr>
      </w:pPr>
      <w:r>
        <w:rPr/>
      </w:r>
    </w:p>
    <w:sectPr>
      <w:headerReference w:type="default" r:id="rId2"/>
      <w:footerReference w:type="default" r:id="rId3"/>
      <w:type w:val="nextPage"/>
      <w:pgSz w:w="11906" w:h="16838"/>
      <w:pgMar w:left="1191" w:right="1020" w:header="482" w:top="1134" w:footer="454" w:bottom="102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Calibri">
    <w:charset w:val="01"/>
    <w:family w:val="roman"/>
    <w:pitch w:val="variable"/>
  </w:font>
  <w:font w:name="Courier">
    <w:altName w:val="Courier New"/>
    <w:charset w:val="01"/>
    <w:family w:val="roman"/>
    <w:pitch w:val="variable"/>
  </w:font>
  <w:font w:name="Liberation Sans">
    <w:altName w:val="Arial"/>
    <w:charset w:val="01"/>
    <w:family w:val="roman"/>
    <w:pitch w:val="variable"/>
  </w:font>
  <w:font w:name="Times New Roman">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3"/>
      <w:jc w:val="center"/>
      <w:rPr/>
    </w:pPr>
    <w:r>
      <w:rPr/>
      <w:fldChar w:fldCharType="begin"/>
    </w:r>
    <w:r>
      <w:rPr/>
      <w:instrText> PAGE </w:instrText>
    </w:r>
    <w:r>
      <w:rPr/>
      <w:fldChar w:fldCharType="separate"/>
    </w:r>
    <w:r>
      <w:rPr/>
      <w:t>0</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2"/>
      <w:pBdr>
        <w:bottom w:val="single" w:sz="6" w:space="2" w:color="B4C6E7"/>
      </w:pBdr>
      <w:jc w:val="left"/>
      <w:rPr/>
    </w:pPr>
    <w:r>
      <w:rPr>
        <w:b/>
        <w:color w:val="2E74B5"/>
        <w:sz w:val="16"/>
      </w:rPr>
      <w:t>BIZNESMAKET|</w:t>
    </w:r>
    <w:r>
      <w:rPr>
        <w:color w:val="44546A"/>
        <w:sz w:val="16"/>
      </w:rPr>
      <w:t>Согласие на обработку персональных данных</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decimal"/>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widowControl/>
      <w:suppressAutoHyphens w:val="true"/>
      <w:bidi w:val="0"/>
      <w:spacing w:lineRule="auto" w:line="264" w:before="0" w:after="120"/>
      <w:jc w:val="left"/>
    </w:pPr>
    <w:rPr>
      <w:rFonts w:ascii="Calibri" w:hAnsi="Calibri" w:eastAsia="Calibri" w:cs=""/>
      <w:color w:val="1F2937"/>
      <w:kern w:val="0"/>
      <w:sz w:val="21"/>
      <w:szCs w:val="22"/>
      <w:lang w:val="en-US" w:eastAsia="en-US" w:bidi="ar-SA"/>
    </w:rPr>
  </w:style>
  <w:style w:type="paragraph" w:styleId="1">
    <w:name w:val="Heading 1"/>
    <w:basedOn w:val="Normal"/>
    <w:next w:val="Normal"/>
    <w:link w:val="Heading1Char"/>
    <w:uiPriority w:val="9"/>
    <w:qFormat/>
    <w:rsid w:val="00fc693f"/>
    <w:pPr>
      <w:keepNext w:val="true"/>
      <w:keepLines/>
      <w:spacing w:before="320" w:after="160"/>
      <w:outlineLvl w:val="0"/>
    </w:pPr>
    <w:rPr>
      <w:rFonts w:ascii="Calibri" w:hAnsi="Calibri" w:eastAsia="ＭＳ ゴシック" w:cs="" w:asciiTheme="majorHAnsi" w:cstheme="majorBidi" w:eastAsiaTheme="majorEastAsia" w:hAnsiTheme="majorHAnsi"/>
      <w:b/>
      <w:bCs/>
      <w:color w:val="2E74B5"/>
      <w:sz w:val="32"/>
      <w:szCs w:val="28"/>
    </w:rPr>
  </w:style>
  <w:style w:type="paragraph" w:styleId="2">
    <w:name w:val="Heading 2"/>
    <w:basedOn w:val="Normal"/>
    <w:next w:val="Normal"/>
    <w:link w:val="Heading2Char"/>
    <w:uiPriority w:val="9"/>
    <w:unhideWhenUsed/>
    <w:qFormat/>
    <w:rsid w:val="00fc693f"/>
    <w:pPr>
      <w:keepNext w:val="true"/>
      <w:keepLines/>
      <w:spacing w:before="240" w:after="120"/>
      <w:outlineLvl w:val="1"/>
    </w:pPr>
    <w:rPr>
      <w:rFonts w:ascii="Calibri" w:hAnsi="Calibri" w:eastAsia="ＭＳ ゴシック" w:cs="" w:asciiTheme="majorHAnsi" w:cstheme="majorBidi" w:eastAsiaTheme="majorEastAsia" w:hAnsiTheme="majorHAnsi"/>
      <w:b/>
      <w:bCs/>
      <w:color w:val="2E74B5"/>
      <w:sz w:val="26"/>
      <w:szCs w:val="26"/>
    </w:rPr>
  </w:style>
  <w:style w:type="paragraph" w:styleId="3">
    <w:name w:val="Heading 3"/>
    <w:basedOn w:val="Normal"/>
    <w:next w:val="Normal"/>
    <w:link w:val="Heading3Char"/>
    <w:uiPriority w:val="9"/>
    <w:unhideWhenUsed/>
    <w:qFormat/>
    <w:rsid w:val="00fc693f"/>
    <w:pPr>
      <w:keepNext w:val="true"/>
      <w:keepLines/>
      <w:spacing w:before="160" w:after="80"/>
      <w:outlineLvl w:val="2"/>
    </w:pPr>
    <w:rPr>
      <w:rFonts w:ascii="Calibri" w:hAnsi="Calibri" w:eastAsia="ＭＳ ゴシック" w:cs="" w:asciiTheme="majorHAnsi" w:cstheme="majorBidi" w:eastAsiaTheme="majorEastAsia" w:hAnsiTheme="majorHAnsi"/>
      <w:b/>
      <w:bCs/>
      <w:color w:val="1F4D78"/>
      <w:sz w:val="23"/>
    </w:rPr>
  </w:style>
  <w:style w:type="paragraph" w:styleId="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ＭＳ ゴシック" w:cs="" w:asciiTheme="majorHAnsi" w:cstheme="majorBidi" w:eastAsiaTheme="majorEastAsia" w:hAnsiTheme="majorHAnsi"/>
      <w:b/>
      <w:bCs/>
      <w:i/>
      <w:iCs/>
      <w:color w:val="4F81BD" w:themeColor="accent1"/>
    </w:rPr>
  </w:style>
  <w:style w:type="paragraph" w:styleId="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ＭＳ ゴシック" w:cs="" w:asciiTheme="majorHAnsi" w:cstheme="majorBidi" w:eastAsiaTheme="majorEastAsia" w:hAnsiTheme="majorHAnsi"/>
      <w:color w:val="243F60" w:themeColor="accent1" w:themeShade="7f"/>
    </w:rPr>
  </w:style>
  <w:style w:type="paragraph" w:styleId="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ＭＳ ゴシック" w:cs="" w:asciiTheme="majorHAnsi" w:cstheme="majorBidi" w:eastAsiaTheme="majorEastAsia" w:hAnsiTheme="majorHAnsi"/>
      <w:i/>
      <w:iCs/>
      <w:color w:val="243F60" w:themeColor="accent1" w:themeShade="7f"/>
    </w:rPr>
  </w:style>
  <w:style w:type="paragraph" w:styleId="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ＭＳ ゴシック" w:cs="" w:asciiTheme="majorHAnsi" w:cstheme="majorBidi" w:eastAsiaTheme="majorEastAsia" w:hAnsiTheme="majorHAnsi"/>
      <w:i/>
      <w:iCs/>
      <w:color w:val="404040" w:themeColor="text1" w:themeTint="bf"/>
    </w:rPr>
  </w:style>
  <w:style w:type="paragraph" w:styleId="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ＭＳ ゴシック" w:cs="" w:asciiTheme="majorHAnsi" w:cstheme="majorBidi" w:eastAsiaTheme="majorEastAsia" w:hAnsiTheme="majorHAnsi"/>
      <w:color w:val="4F81BD" w:themeColor="accent1"/>
      <w:sz w:val="20"/>
      <w:szCs w:val="20"/>
    </w:rPr>
  </w:style>
  <w:style w:type="paragraph" w:styleId="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ＭＳ ゴシック" w:cs="" w:asciiTheme="majorHAnsi" w:cstheme="majorBidi" w:eastAsiaTheme="majorEastAsia" w:hAnsiTheme="majorHAnsi"/>
      <w:i/>
      <w:iCs/>
      <w:color w:val="404040" w:themeColor="text1" w:themeTint="bf"/>
      <w:sz w:val="20"/>
      <w:szCs w:val="20"/>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fc693f"/>
    <w:rPr>
      <w:rFonts w:ascii="Calibri" w:hAnsi="Calibri" w:eastAsia="ＭＳ ゴシック"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fc693f"/>
    <w:rPr>
      <w:rFonts w:ascii="Calibri" w:hAnsi="Calibri" w:eastAsia="ＭＳ ゴシック"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fc693f"/>
    <w:rPr>
      <w:rFonts w:ascii="Calibri" w:hAnsi="Calibri" w:eastAsia="ＭＳ ゴシック" w:cs="" w:asciiTheme="majorHAnsi" w:cstheme="majorBidi" w:eastAsiaTheme="majorEastAsia" w:hAnsiTheme="majorHAnsi"/>
      <w:b/>
      <w:bCs/>
      <w:color w:val="4F81BD" w:themeColor="accent1"/>
    </w:rPr>
  </w:style>
  <w:style w:type="character" w:styleId="TitleChar" w:customStyle="1">
    <w:name w:val="Title Char"/>
    <w:basedOn w:val="DefaultParagraphFont"/>
    <w:link w:val="Title"/>
    <w:uiPriority w:val="10"/>
    <w:qFormat/>
    <w:rsid w:val="00fc693f"/>
    <w:rPr>
      <w:rFonts w:ascii="Calibri" w:hAnsi="Calibri" w:eastAsia="ＭＳ ゴシック" w:cs="" w:asciiTheme="majorHAnsi" w:cstheme="majorBidi" w:eastAsiaTheme="majorEastAsia" w:hAnsiTheme="majorHAnsi"/>
      <w:color w:val="17365D" w:themeColor="text2" w:themeShade="bf"/>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ＭＳ ゴシック" w:cs="" w:asciiTheme="majorHAnsi" w:cstheme="majorBidi" w:eastAsiaTheme="majorEastAsia" w:hAnsiTheme="majorHAnsi"/>
      <w:i/>
      <w:iCs/>
      <w:color w:val="4F81BD" w:themeColor="accent1"/>
      <w:spacing w:val="15"/>
      <w:sz w:val="24"/>
      <w:szCs w:val="24"/>
    </w:rPr>
  </w:style>
  <w:style w:type="character" w:styleId="BodyTextChar" w:customStyle="1">
    <w:name w:val="Body Text Char"/>
    <w:basedOn w:val="DefaultParagraphFont"/>
    <w:link w:val="BodyTex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val="000000" w:themeColor="text1"/>
    </w:rPr>
  </w:style>
  <w:style w:type="character" w:styleId="Heading4Char" w:customStyle="1">
    <w:name w:val="Heading 4 Char"/>
    <w:basedOn w:val="DefaultParagraphFont"/>
    <w:link w:val="Heading4"/>
    <w:uiPriority w:val="9"/>
    <w:semiHidden/>
    <w:qFormat/>
    <w:rsid w:val="00fc693f"/>
    <w:rPr>
      <w:rFonts w:ascii="Calibri" w:hAnsi="Calibri" w:eastAsia="ＭＳ ゴシック" w:cs="" w:asciiTheme="majorHAnsi" w:cstheme="majorBidi" w:eastAsiaTheme="majorEastAsia" w:hAnsiTheme="majorHAnsi"/>
      <w:b/>
      <w:bCs/>
      <w:i/>
      <w:iCs/>
      <w:color w:val="4F81BD" w:themeColor="accent1"/>
    </w:rPr>
  </w:style>
  <w:style w:type="character" w:styleId="Heading5Char" w:customStyle="1">
    <w:name w:val="Heading 5 Char"/>
    <w:basedOn w:val="DefaultParagraphFont"/>
    <w:link w:val="Heading5"/>
    <w:uiPriority w:val="9"/>
    <w:semiHidden/>
    <w:qFormat/>
    <w:rsid w:val="00fc693f"/>
    <w:rPr>
      <w:rFonts w:ascii="Calibri" w:hAnsi="Calibri" w:eastAsia="ＭＳ ゴシック" w:cs="" w:asciiTheme="majorHAnsi" w:cstheme="majorBidi" w:eastAsiaTheme="majorEastAsia" w:hAnsiTheme="majorHAnsi"/>
      <w:color w:val="243F60" w:themeColor="accent1" w:themeShade="7f"/>
    </w:rPr>
  </w:style>
  <w:style w:type="character" w:styleId="Heading6Char" w:customStyle="1">
    <w:name w:val="Heading 6 Char"/>
    <w:basedOn w:val="DefaultParagraphFont"/>
    <w:link w:val="Heading6"/>
    <w:uiPriority w:val="9"/>
    <w:semiHidden/>
    <w:qFormat/>
    <w:rsid w:val="00fc693f"/>
    <w:rPr>
      <w:rFonts w:ascii="Calibri" w:hAnsi="Calibri" w:eastAsia="ＭＳ ゴシック" w:cs="" w:asciiTheme="majorHAnsi" w:cstheme="majorBidi" w:eastAsiaTheme="majorEastAsia" w:hAnsiTheme="majorHAnsi"/>
      <w:i/>
      <w:iCs/>
      <w:color w:val="243F60" w:themeColor="accent1" w:themeShade="7f"/>
    </w:rPr>
  </w:style>
  <w:style w:type="character" w:styleId="Heading7Char" w:customStyle="1">
    <w:name w:val="Heading 7 Char"/>
    <w:basedOn w:val="DefaultParagraphFont"/>
    <w:link w:val="Heading7"/>
    <w:uiPriority w:val="9"/>
    <w:semiHidden/>
    <w:qFormat/>
    <w:rsid w:val="00fc693f"/>
    <w:rPr>
      <w:rFonts w:ascii="Calibri" w:hAnsi="Calibri" w:eastAsia="ＭＳ ゴシック" w:cs="" w:asciiTheme="majorHAnsi" w:cstheme="majorBidi" w:eastAsiaTheme="majorEastAsia" w:hAnsiTheme="majorHAnsi"/>
      <w:i/>
      <w:iCs/>
      <w:color w:val="404040" w:themeColor="text1" w:themeTint="bf"/>
    </w:rPr>
  </w:style>
  <w:style w:type="character" w:styleId="Heading8Char" w:customStyle="1">
    <w:name w:val="Heading 8 Char"/>
    <w:basedOn w:val="DefaultParagraphFont"/>
    <w:link w:val="Heading8"/>
    <w:uiPriority w:val="9"/>
    <w:semiHidden/>
    <w:qFormat/>
    <w:rsid w:val="00fc693f"/>
    <w:rPr>
      <w:rFonts w:ascii="Calibri" w:hAnsi="Calibri" w:eastAsia="ＭＳ ゴシック" w:c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ＭＳ ゴシック" w:cs="" w:asciiTheme="majorHAnsi" w:cstheme="majorBidi" w:eastAsiaTheme="majorEastAsia" w:hAnsiTheme="majorHAns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Style5">
    <w:name w:val="Выделение"/>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Style6">
    <w:name w:val="Заголовок"/>
    <w:basedOn w:val="Normal"/>
    <w:next w:val="Style7"/>
    <w:qFormat/>
    <w:pPr>
      <w:keepNext w:val="true"/>
      <w:spacing w:before="240" w:after="120"/>
    </w:pPr>
    <w:rPr>
      <w:rFonts w:ascii="Liberation Sans" w:hAnsi="Liberation Sans" w:eastAsia="Tahoma" w:cs="Noto Sans Devanagari"/>
      <w:sz w:val="28"/>
      <w:szCs w:val="28"/>
    </w:rPr>
  </w:style>
  <w:style w:type="paragraph" w:styleId="Style7">
    <w:name w:val="Body Text"/>
    <w:basedOn w:val="Normal"/>
    <w:link w:val="BodyTextChar"/>
    <w:uiPriority w:val="99"/>
    <w:unhideWhenUsed/>
    <w:rsid w:val="00aa1d8d"/>
    <w:pPr>
      <w:spacing w:before="0" w:after="120"/>
    </w:pPr>
    <w:rPr/>
  </w:style>
  <w:style w:type="paragraph" w:styleId="Style8">
    <w:name w:val="List"/>
    <w:basedOn w:val="Normal"/>
    <w:uiPriority w:val="99"/>
    <w:unhideWhenUsed/>
    <w:rsid w:val="00aa1d8d"/>
    <w:pPr>
      <w:spacing w:before="0" w:after="120"/>
      <w:ind w:left="360" w:hanging="360"/>
      <w:contextualSpacing/>
    </w:pPr>
    <w:rPr/>
  </w:style>
  <w:style w:type="paragraph" w:styleId="Style9">
    <w:name w:val="Caption"/>
    <w:basedOn w:val="Normal"/>
    <w:qFormat/>
    <w:pPr>
      <w:suppressLineNumbers/>
      <w:spacing w:before="120" w:after="120"/>
    </w:pPr>
    <w:rPr>
      <w:rFonts w:cs="Noto Sans Devanagari"/>
      <w:i/>
      <w:iCs/>
      <w:sz w:val="24"/>
      <w:szCs w:val="24"/>
    </w:rPr>
  </w:style>
  <w:style w:type="paragraph" w:styleId="Style10">
    <w:name w:val="Указатель"/>
    <w:basedOn w:val="Normal"/>
    <w:qFormat/>
    <w:pPr>
      <w:suppressLineNumbers/>
    </w:pPr>
    <w:rPr>
      <w:rFonts w:cs="Noto Sans Devanagari"/>
    </w:rPr>
  </w:style>
  <w:style w:type="paragraph" w:styleId="Style11">
    <w:name w:val="Верхний и нижний колонтитулы"/>
    <w:basedOn w:val="Normal"/>
    <w:qFormat/>
    <w:pPr/>
    <w:rPr/>
  </w:style>
  <w:style w:type="paragraph" w:styleId="Style12">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style>
  <w:style w:type="paragraph" w:styleId="Style13">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style>
  <w:style w:type="paragraph" w:styleId="NoSpacing">
    <w:name w:val="No Spacing"/>
    <w:uiPriority w:val="1"/>
    <w:qFormat/>
    <w:rsid w:val="00fc693f"/>
    <w:pPr>
      <w:widowControl/>
      <w:suppressAutoHyphens w:val="true"/>
      <w:bidi w:val="0"/>
      <w:spacing w:lineRule="auto" w:line="240" w:before="0" w:after="0"/>
      <w:jc w:val="left"/>
    </w:pPr>
    <w:rPr>
      <w:rFonts w:ascii="Cambria" w:hAnsi="Cambria" w:eastAsia="ＭＳ 明朝" w:cs="" w:asciiTheme="minorHAnsi" w:cstheme="minorBidi" w:eastAsiaTheme="minorEastAsia" w:hAnsiTheme="minorHAnsi"/>
      <w:color w:val="auto"/>
      <w:kern w:val="0"/>
      <w:sz w:val="22"/>
      <w:szCs w:val="22"/>
      <w:lang w:val="en-US" w:eastAsia="en-US" w:bidi="ar-SA"/>
    </w:rPr>
  </w:style>
  <w:style w:type="paragraph" w:styleId="Style14">
    <w:name w:val="Title"/>
    <w:basedOn w:val="Normal"/>
    <w:next w:val="Normal"/>
    <w:link w:val="TitleChar"/>
    <w:uiPriority w:val="10"/>
    <w:qFormat/>
    <w:rsid w:val="00fc693f"/>
    <w:pPr>
      <w:keepNext w:val="true"/>
      <w:pBdr>
        <w:bottom w:val="single" w:sz="8" w:space="4" w:color="4F81BD"/>
      </w:pBdr>
      <w:spacing w:lineRule="auto" w:line="240" w:before="0" w:after="280"/>
      <w:contextualSpacing/>
    </w:pPr>
    <w:rPr>
      <w:rFonts w:ascii="Calibri" w:hAnsi="Calibri" w:eastAsia="ＭＳ ゴシック" w:cs="" w:asciiTheme="majorHAnsi" w:cstheme="majorBidi" w:eastAsiaTheme="majorEastAsia" w:hAnsiTheme="majorHAnsi"/>
      <w:b/>
      <w:color w:val="17365D"/>
      <w:spacing w:val="5"/>
      <w:kern w:val="2"/>
      <w:sz w:val="44"/>
      <w:szCs w:val="52"/>
    </w:rPr>
  </w:style>
  <w:style w:type="paragraph" w:styleId="Style15">
    <w:name w:val="Subtitle"/>
    <w:basedOn w:val="Normal"/>
    <w:next w:val="Normal"/>
    <w:link w:val="SubtitleChar"/>
    <w:uiPriority w:val="11"/>
    <w:qFormat/>
    <w:rsid w:val="00fc693f"/>
    <w:pPr/>
    <w:rPr>
      <w:rFonts w:ascii="Calibri" w:hAnsi="Calibri" w:eastAsia="ＭＳ ゴシック" w:cs="" w:asciiTheme="majorHAnsi" w:cstheme="majorBidi" w:eastAsiaTheme="majorEastAsia" w:hAnsiTheme="majorHAnsi"/>
      <w:i/>
      <w:iCs/>
      <w:color w:val="4F81BD" w:themeColor="accent1"/>
      <w:spacing w:val="15"/>
      <w:sz w:val="24"/>
      <w:szCs w:val="24"/>
    </w:rPr>
  </w:style>
  <w:style w:type="paragraph" w:styleId="ListParagraph">
    <w:name w:val="List Paragraph"/>
    <w:basedOn w:val="Normal"/>
    <w:uiPriority w:val="34"/>
    <w:qFormat/>
    <w:rsid w:val="00fc693f"/>
    <w:pPr>
      <w:spacing w:before="0" w:after="120"/>
      <w:ind w:left="720" w:hanging="0"/>
      <w:contextualSpacing/>
    </w:pPr>
    <w:rPr/>
  </w:style>
  <w:style w:type="paragraph" w:styleId="BodyText2">
    <w:name w:val="Body Text 2"/>
    <w:basedOn w:val="Normal"/>
    <w:link w:val="BodyText2Char"/>
    <w:uiPriority w:val="99"/>
    <w:unhideWhenUsed/>
    <w:qFormat/>
    <w:rsid w:val="00aa1d8d"/>
    <w:pPr>
      <w:spacing w:lineRule="auto" w:line="480" w:before="0" w:after="120"/>
    </w:pPr>
    <w:rPr/>
  </w:style>
  <w:style w:type="paragraph" w:styleId="BodyText3">
    <w:name w:val="Body Text 3"/>
    <w:basedOn w:val="Normal"/>
    <w:link w:val="BodyText3Char"/>
    <w:uiPriority w:val="99"/>
    <w:unhideWhenUsed/>
    <w:qFormat/>
    <w:rsid w:val="00aa1d8d"/>
    <w:pPr>
      <w:spacing w:before="0" w:after="120"/>
    </w:pPr>
    <w:rPr>
      <w:sz w:val="16"/>
      <w:szCs w:val="16"/>
    </w:rPr>
  </w:style>
  <w:style w:type="paragraph" w:styleId="ListBullet3">
    <w:name w:val="List Bullet 3"/>
    <w:basedOn w:val="Normal"/>
    <w:uiPriority w:val="99"/>
    <w:unhideWhenUsed/>
    <w:qFormat/>
    <w:rsid w:val="00326f90"/>
    <w:pPr>
      <w:numPr>
        <w:ilvl w:val="0"/>
        <w:numId w:val="3"/>
      </w:numPr>
      <w:spacing w:before="0" w:after="120"/>
      <w:contextualSpacing/>
    </w:pPr>
    <w:rPr/>
  </w:style>
  <w:style w:type="paragraph" w:styleId="ListBullet4">
    <w:name w:val="List Bullet 4"/>
    <w:basedOn w:val="Normal"/>
    <w:uiPriority w:val="99"/>
    <w:unhideWhenUsed/>
    <w:qFormat/>
    <w:rsid w:val="00326f90"/>
    <w:pPr>
      <w:spacing w:before="0" w:after="120"/>
      <w:ind w:left="1080" w:hanging="360"/>
      <w:contextualSpacing/>
    </w:pPr>
    <w:rPr/>
  </w:style>
  <w:style w:type="paragraph" w:styleId="ListBullet">
    <w:name w:val="List Bullet"/>
    <w:basedOn w:val="Normal"/>
    <w:uiPriority w:val="99"/>
    <w:unhideWhenUsed/>
    <w:qFormat/>
    <w:rsid w:val="00326f90"/>
    <w:pPr>
      <w:numPr>
        <w:ilvl w:val="0"/>
        <w:numId w:val="1"/>
      </w:numPr>
      <w:spacing w:before="0" w:after="120"/>
      <w:contextualSpacing/>
    </w:pPr>
    <w:rPr/>
  </w:style>
  <w:style w:type="paragraph" w:styleId="ListBullet2">
    <w:name w:val="List Bullet 2"/>
    <w:basedOn w:val="Normal"/>
    <w:uiPriority w:val="99"/>
    <w:unhideWhenUsed/>
    <w:qFormat/>
    <w:rsid w:val="00326f90"/>
    <w:pPr>
      <w:numPr>
        <w:ilvl w:val="0"/>
        <w:numId w:val="2"/>
      </w:numPr>
      <w:spacing w:before="0" w:after="120"/>
      <w:contextualSpacing/>
    </w:pPr>
    <w:rPr/>
  </w:style>
  <w:style w:type="paragraph" w:styleId="ListNumber">
    <w:name w:val="List Number"/>
    <w:basedOn w:val="Normal"/>
    <w:uiPriority w:val="99"/>
    <w:unhideWhenUsed/>
    <w:qFormat/>
    <w:rsid w:val="00326f90"/>
    <w:pPr>
      <w:numPr>
        <w:ilvl w:val="0"/>
        <w:numId w:val="4"/>
      </w:numPr>
      <w:spacing w:before="0" w:after="120"/>
      <w:contextualSpacing/>
    </w:pPr>
    <w:rPr/>
  </w:style>
  <w:style w:type="paragraph" w:styleId="ListNumber2">
    <w:name w:val="List Number 2"/>
    <w:basedOn w:val="Normal"/>
    <w:uiPriority w:val="99"/>
    <w:unhideWhenUsed/>
    <w:qFormat/>
    <w:rsid w:val="0029639d"/>
    <w:pPr>
      <w:numPr>
        <w:ilvl w:val="0"/>
        <w:numId w:val="5"/>
      </w:numPr>
      <w:spacing w:before="0" w:after="120"/>
      <w:contextualSpacing/>
    </w:pPr>
    <w:rPr/>
  </w:style>
  <w:style w:type="paragraph" w:styleId="ListNumber3">
    <w:name w:val="List Number 3"/>
    <w:basedOn w:val="Normal"/>
    <w:uiPriority w:val="99"/>
    <w:unhideWhenUsed/>
    <w:qFormat/>
    <w:rsid w:val="0029639d"/>
    <w:pPr>
      <w:numPr>
        <w:ilvl w:val="0"/>
        <w:numId w:val="6"/>
      </w:numPr>
      <w:spacing w:before="0" w:after="120"/>
      <w:contextualSpacing/>
    </w:pPr>
    <w:rPr/>
  </w:style>
  <w:style w:type="paragraph" w:styleId="ListContinue">
    <w:name w:val="List Continue"/>
    <w:basedOn w:val="Normal"/>
    <w:uiPriority w:val="99"/>
    <w:unhideWhenUsed/>
    <w:qFormat/>
    <w:rsid w:val="0029639d"/>
    <w:pPr>
      <w:spacing w:before="0" w:after="120"/>
      <w:ind w:left="360" w:hanging="0"/>
      <w:contextualSpacing/>
    </w:pPr>
    <w:rPr/>
  </w:style>
  <w:style w:type="paragraph" w:styleId="ListContinue2">
    <w:name w:val="List Continue 2"/>
    <w:basedOn w:val="Normal"/>
    <w:uiPriority w:val="99"/>
    <w:unhideWhenUsed/>
    <w:qFormat/>
    <w:rsid w:val="0029639d"/>
    <w:pPr>
      <w:spacing w:before="0" w:after="120"/>
      <w:ind w:left="720" w:hanging="0"/>
      <w:contextualSpacing/>
    </w:pPr>
    <w:rPr/>
  </w:style>
  <w:style w:type="paragraph" w:styleId="ListContinue3">
    <w:name w:val="List Continue 3"/>
    <w:basedOn w:val="Normal"/>
    <w:uiPriority w:val="99"/>
    <w:unhideWhenUsed/>
    <w:qFormat/>
    <w:rsid w:val="0029639d"/>
    <w:pPr>
      <w:spacing w:before="0" w:after="120"/>
      <w:ind w:left="1080" w:hanging="0"/>
      <w:contextualSpacing/>
    </w:pPr>
    <w:rPr/>
  </w:style>
  <w:style w:type="paragraph" w:styleId="Macro">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left"/>
    </w:pPr>
    <w:rPr>
      <w:rFonts w:ascii="Courier" w:hAnsi="Courier" w:eastAsia="ＭＳ 明朝" w:cs="" w:cstheme="minorBidi" w:eastAsiaTheme="minorEastAsia"/>
      <w:color w:val="auto"/>
      <w:kern w:val="0"/>
      <w:sz w:val="20"/>
      <w:szCs w:val="20"/>
      <w:lang w:val="en-US" w:eastAsia="en-US" w:bidi="ar-SA"/>
    </w:rPr>
  </w:style>
  <w:style w:type="paragraph" w:styleId="Quote">
    <w:name w:val="Quote"/>
    <w:basedOn w:val="Normal"/>
    <w:next w:val="Normal"/>
    <w:link w:val="QuoteChar"/>
    <w:uiPriority w:val="29"/>
    <w:qFormat/>
    <w:rsid w:val="00fc693f"/>
    <w:pPr/>
    <w:rPr>
      <w:i/>
      <w:iCs/>
      <w:color w:val="000000" w:themeColor="text1"/>
    </w:rPr>
  </w:style>
  <w:style w:type="paragraph" w:styleId="Caption">
    <w:name w:val="caption"/>
    <w:basedOn w:val="Normal"/>
    <w:next w:val="Normal"/>
    <w:uiPriority w:val="35"/>
    <w:semiHidden/>
    <w:unhideWhenUsed/>
    <w:qFormat/>
    <w:rsid w:val="00fc693f"/>
    <w:pPr>
      <w:spacing w:lineRule="auto" w:line="240"/>
    </w:pPr>
    <w:rPr>
      <w:b/>
      <w:bCs/>
      <w:color w:val="4F81BD" w:themeColor="accent1"/>
      <w:sz w:val="18"/>
      <w:szCs w:val="18"/>
    </w:rPr>
  </w:style>
  <w:style w:type="paragraph" w:styleId="IntenseQuote">
    <w:name w:val="Intense Quote"/>
    <w:basedOn w:val="Normal"/>
    <w:next w:val="Normal"/>
    <w:link w:val="IntenseQuoteChar"/>
    <w:uiPriority w:val="30"/>
    <w:qFormat/>
    <w:rsid w:val="00fc693f"/>
    <w:pPr>
      <w:pBdr>
        <w:bottom w:val="single" w:sz="4" w:space="4" w:color="4F81BD"/>
      </w:pBdr>
      <w:spacing w:before="200" w:after="280"/>
      <w:ind w:left="936" w:right="936" w:hanging="0"/>
    </w:pPr>
    <w:rPr>
      <w:b/>
      <w:bCs/>
      <w:i/>
      <w:iCs/>
      <w:color w:val="4F81BD" w:themeColor="accent1"/>
    </w:rPr>
  </w:style>
  <w:style w:type="paragraph" w:styleId="TOCHeading">
    <w:name w:val="TOC Heading"/>
    <w:basedOn w:val="1"/>
    <w:next w:val="Normal"/>
    <w:uiPriority w:val="39"/>
    <w:semiHidden/>
    <w:unhideWhenUsed/>
    <w:qFormat/>
    <w:rsid w:val="00fc693f"/>
    <w:pPr/>
    <w:rPr/>
  </w:style>
  <w:style w:type="paragraph" w:styleId="DocSubtitle" w:customStyle="1">
    <w:name w:val="Doc Subtitle"/>
    <w:basedOn w:val="Normal"/>
    <w:qFormat/>
    <w:pPr>
      <w:spacing w:lineRule="auto" w:line="259" w:before="0" w:after="100"/>
    </w:pPr>
    <w:rPr>
      <w:rFonts w:ascii="Calibri" w:hAnsi="Calibri" w:eastAsia="Calibri"/>
      <w:color w:val="44546A"/>
      <w:sz w:val="22"/>
    </w:rPr>
  </w:style>
  <w:style w:type="paragraph" w:styleId="DocMeta" w:customStyle="1">
    <w:name w:val="Doc Meta"/>
    <w:basedOn w:val="Normal"/>
    <w:qFormat/>
    <w:pPr>
      <w:spacing w:lineRule="auto" w:line="259" w:before="0" w:after="100"/>
    </w:pPr>
    <w:rPr>
      <w:rFonts w:ascii="Calibri" w:hAnsi="Calibri" w:eastAsia="Calibri"/>
      <w:color w:val="44546A"/>
      <w:sz w:val="18"/>
    </w:rPr>
  </w:style>
  <w:style w:type="paragraph" w:styleId="SmallText" w:customStyle="1">
    <w:name w:val="Small Text"/>
    <w:basedOn w:val="Normal"/>
    <w:qFormat/>
    <w:pPr>
      <w:spacing w:lineRule="auto" w:line="259" w:before="0" w:after="100"/>
    </w:pPr>
    <w:rPr>
      <w:rFonts w:ascii="Calibri" w:hAnsi="Calibri" w:eastAsia="Calibri"/>
      <w:color w:val="44546A"/>
      <w:sz w:val="17"/>
    </w:rPr>
  </w:style>
  <w:style w:type="paragraph" w:styleId="LegalBullet" w:customStyle="1">
    <w:name w:val="Legal Bullet"/>
    <w:basedOn w:val="Normal"/>
    <w:qFormat/>
    <w:pPr>
      <w:spacing w:lineRule="auto" w:line="259" w:before="0" w:after="100"/>
      <w:ind w:left="482" w:hanging="255"/>
    </w:pPr>
    <w:rPr>
      <w:rFonts w:ascii="Calibri" w:hAnsi="Calibri" w:eastAsia="Calibri"/>
      <w:color w:val="1F2937"/>
      <w:sz w:val="21"/>
    </w:rPr>
  </w:style>
  <w:style w:type="paragraph" w:styleId="LegalNumber" w:customStyle="1">
    <w:name w:val="Legal Number"/>
    <w:basedOn w:val="Normal"/>
    <w:qFormat/>
    <w:pPr>
      <w:spacing w:lineRule="auto" w:line="259" w:before="0" w:after="100"/>
      <w:ind w:left="482" w:hanging="255"/>
    </w:pPr>
    <w:rPr>
      <w:rFonts w:ascii="Calibri" w:hAnsi="Calibri" w:eastAsia="Calibri"/>
      <w:color w:val="1F2937"/>
      <w:sz w:val="21"/>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Application>LibreOffice/7.0.4.2$Linux_X86_64 LibreOffice_project/dcf040e67528d9187c66b2379df5ea4407429775</Application>
  <AppVersion>15.0000</AppVersion>
  <Pages>2</Pages>
  <Words>461</Words>
  <Characters>3196</Characters>
  <CharactersWithSpaces>3621</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
  <dc:description>generated by python-docx</dc:description>
  <cp:keywords>персональные персональные персональные персональные персональные данные cookie сайт согласие</cp:keywords>
  <dc:language>ru-RU</dc:language>
  <cp:lastModifiedBy/>
  <dcterms:modified xsi:type="dcterms:W3CDTF">2026-08-19T15:13:40Z</dcterms:modified>
  <cp:revision>8</cp:revision>
  <dc:subject>Юридические документы для сайта businessmaket.ru</dc:subject>
  <dc:title>Согласие на обработку персональных данных</dc:title>
</cp:coreProperties>
</file>

<file path=docProps/custom.xml><?xml version="1.0" encoding="utf-8"?>
<Properties xmlns="http://schemas.openxmlformats.org/officeDocument/2006/custom-properties" xmlns:vt="http://schemas.openxmlformats.org/officeDocument/2006/docPropsVTypes"/>
</file>