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pageBreakBefore w:val="false"/>
        <w:spacing w:lineRule="auto" w:line="240" w:before="0" w:after="0"/>
        <w:contextualSpacing/>
        <w:jc w:val="center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Политика обработки персональных данных</w:t>
      </w:r>
    </w:p>
    <w:p>
      <w:pPr>
        <w:pStyle w:val="DocSubtitl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/>
      </w:r>
    </w:p>
    <w:tbl>
      <w:tblPr>
        <w:tblW w:w="9700" w:type="dxa"/>
        <w:jc w:val="left"/>
        <w:tblInd w:w="97" w:type="dxa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noHBand="0" w:noVBand="1" w:firstColumn="1" w:lastRow="0" w:lastColumn="0" w:firstRow="1"/>
      </w:tblPr>
      <w:tblGrid>
        <w:gridCol w:w="1938"/>
        <w:gridCol w:w="7761"/>
      </w:tblGrid>
      <w:tr>
        <w:trPr/>
        <w:tc>
          <w:tcPr>
            <w:tcW w:w="1938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shd w:fill="auto" w:val="clear"/>
              </w:rPr>
              <w:t>Версия</w:t>
            </w:r>
          </w:p>
        </w:tc>
        <w:tc>
          <w:tcPr>
            <w:tcW w:w="7761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fill="auto" w:val="clear"/>
              </w:rPr>
              <w:t>1.0</w:t>
            </w:r>
          </w:p>
        </w:tc>
      </w:tr>
      <w:tr>
        <w:trPr/>
        <w:tc>
          <w:tcPr>
            <w:tcW w:w="1938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shd w:fill="auto" w:val="clear"/>
              </w:rPr>
              <w:t>Дата редакции</w:t>
            </w:r>
          </w:p>
        </w:tc>
        <w:tc>
          <w:tcPr>
            <w:tcW w:w="7761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fill="auto" w:val="clear"/>
              </w:rPr>
              <w:t>19 августа 2026 г.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1. Общие положения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1.1. Настоящая Политика обработки персональных данных (далее — «Политика») определяет порядок и условия обработки персональных данных посетителей сайта https://businessmaket.ru/, лиц, направляющих обращения, представителей заказчиков и контрагентов, а также иных лиц, взаимодействующих с ООО «БИЗНЕСМАКЕТ».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1.2. Оператор персональных данных: Общество с ограниченной ответственностью «БИЗНЕСМАКЕТ» (ООО «БИЗНЕСМАКЕТ»), ОГРН 5137746162659, ИНН 7743909303, КПП 773301001, адрес: 125362, г. Москва, ул. Свободы, д. 35, стр. 5, помещ. 1, ком. 33; электронная почта: info@maketbm.ru; телефон: +7 (495) 127-06-05 (далее — «Оператор»).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1.3. Политика разработана в соответствии с Конституцией Российской Федерации, Федеральным законом от 27.07.2006 № 152-ФЗ «О персональных данных» и иными применимыми нормативными правовыми актами Российской Федерации.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1.4. Политика действует в отношении обработки с использованием средств автоматизации и без них. Она не распространяется на сайты и сервисы третьих лиц, на которые пользователь может перейти по внешним ссылкам.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1.5. Оператор исходит из принципов законности и справедливости, ограничения обработки конкретными целями, минимизации данных, достоверности, ограничения срока хранения, конфиденциальности и безопасности.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2. Термины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tbl>
      <w:tblPr>
        <w:tblStyle w:val="TableGrid"/>
        <w:tblW w:w="9700" w:type="dxa"/>
        <w:jc w:val="left"/>
        <w:tblInd w:w="142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noHBand="0" w:noVBand="1" w:firstColumn="1" w:lastRow="0" w:lastColumn="0" w:firstRow="1"/>
      </w:tblPr>
      <w:tblGrid>
        <w:gridCol w:w="2437"/>
        <w:gridCol w:w="7262"/>
      </w:tblGrid>
      <w:tr>
        <w:trPr>
          <w:tblHeader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Термин</w:t>
            </w:r>
          </w:p>
        </w:tc>
        <w:tc>
          <w:tcPr>
            <w:tcW w:w="726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Значение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Персональные данные</w:t>
            </w:r>
          </w:p>
        </w:tc>
        <w:tc>
          <w:tcPr>
            <w:tcW w:w="726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Любая информация, относящаяся к прямо или косвенно определенному либо определяемому физическому лицу.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Обработка</w:t>
            </w:r>
          </w:p>
        </w:tc>
        <w:tc>
          <w:tcPr>
            <w:tcW w:w="726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Любое действие или совокупность действий с персональными данными, включая сбор, запись, систематизацию, накопление, хранение, уточнение, использование, передачу, блокирование, удаление и уничтожение.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Сайт</w:t>
            </w:r>
          </w:p>
        </w:tc>
        <w:tc>
          <w:tcPr>
            <w:tcW w:w="726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Совокупность страниц и программных компонентов, доступных по адресу https://businessmaket.ru/, включая его языковые версии и формы обратной связи.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Cookie</w:t>
            </w:r>
          </w:p>
        </w:tc>
        <w:tc>
          <w:tcPr>
            <w:tcW w:w="726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Небольшой фрагмент данных либо аналогичный идентификатор, сохраняемый браузером или устройством; подробности приведены в Политике использования cookie.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Порученная обработка</w:t>
            </w:r>
          </w:p>
        </w:tc>
        <w:tc>
          <w:tcPr>
            <w:tcW w:w="726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Обработка данных другим лицом по поручению Оператора на основании договора, определяющего цели, перечень действий, требования к конфиденциальности и защите.</w:t>
            </w:r>
          </w:p>
        </w:tc>
      </w:tr>
    </w:tbl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/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3. Субъекты и состав обрабатываемых данных</w:t>
      </w:r>
    </w:p>
    <w:tbl>
      <w:tblPr>
        <w:tblStyle w:val="TableGrid"/>
        <w:tblW w:w="9575" w:type="dxa"/>
        <w:jc w:val="left"/>
        <w:tblInd w:w="142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noHBand="0" w:noVBand="1" w:firstColumn="1" w:lastRow="0" w:lastColumn="0" w:firstRow="1"/>
      </w:tblPr>
      <w:tblGrid>
        <w:gridCol w:w="2437"/>
        <w:gridCol w:w="7137"/>
      </w:tblGrid>
      <w:tr>
        <w:trPr>
          <w:tblHeader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Категория лиц</w:t>
            </w:r>
          </w:p>
        </w:tc>
        <w:tc>
          <w:tcPr>
            <w:tcW w:w="71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Данные, которые могут обрабатываться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Посетители сайта</w:t>
            </w:r>
          </w:p>
        </w:tc>
        <w:tc>
          <w:tcPr>
            <w:tcW w:w="71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IP-адрес, дата и время запроса, адрес посещенной страницы, источник перехода, тип и версия браузера, операционная система, язык, разрешение экрана, сведения о выборе cookie; аналитические идентификаторы - только после согласия.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Лица, направившие обращение</w:t>
            </w:r>
          </w:p>
        </w:tc>
        <w:tc>
          <w:tcPr>
            <w:tcW w:w="71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Имя; телефон; адрес электронной почты, если указан; компания и должность, если указаны; содержание обращения; выбранный способ связи; сведения и файлы, добровольно приложенные к обращению.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Представители заказчиков и контрагентов</w:t>
            </w:r>
          </w:p>
        </w:tc>
        <w:tc>
          <w:tcPr>
            <w:tcW w:w="71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Фамилия, имя, отчество; должность; организация; рабочие контактные данные; содержание переписки; полномочия; сведения, необходимые для заключения и исполнения договора.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Получатели рассылок</w:t>
            </w:r>
          </w:p>
        </w:tc>
        <w:tc>
          <w:tcPr>
            <w:tcW w:w="71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Имя, адрес электронной почты, номер телефона или идентификатор мессенджера - в зависимости от отдельно выбранного канала; сведения о согласии, доставке и отказе.</w:t>
            </w:r>
          </w:p>
        </w:tc>
      </w:tr>
      <w:tr>
        <w:trPr>
          <w:cantSplit w:val="true"/>
        </w:trPr>
        <w:tc>
          <w:tcPr>
            <w:tcW w:w="24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Лица, реализующие права</w:t>
            </w:r>
          </w:p>
        </w:tc>
        <w:tc>
          <w:tcPr>
            <w:tcW w:w="71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Контактные и идентифицирующие сведения в объеме, необходимом для проверки заявителя; содержание запроса; документы и переписка по нему.</w:t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3.2. Оператор не запрашивает через сайт специальные категории персональных данных, биометрические данные, паспортные данные, сведения о здоровье, платежные реквизиты или государственные идентификаторы. Пользователю не следует включать такие сведения в сообщение или файл, если Оператор прямо и законно их не запросил по защищенному каналу.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3.3. Данные о юридическом лице сами по себе не являются персональными данными, однако сведения о его представителе обрабатываются как персональные данные.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/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4. Цели, правовые основания и сроки</w:t>
      </w:r>
    </w:p>
    <w:tbl>
      <w:tblPr>
        <w:tblStyle w:val="TableGrid"/>
        <w:tblW w:w="9700" w:type="dxa"/>
        <w:jc w:val="left"/>
        <w:tblInd w:w="104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noHBand="0" w:noVBand="1" w:firstColumn="1" w:lastRow="0" w:lastColumn="0" w:firstRow="1"/>
      </w:tblPr>
      <w:tblGrid>
        <w:gridCol w:w="2337"/>
        <w:gridCol w:w="2425"/>
        <w:gridCol w:w="2425"/>
        <w:gridCol w:w="2512"/>
      </w:tblGrid>
      <w:tr>
        <w:trPr>
          <w:tblHeader w:val="true"/>
        </w:trPr>
        <w:tc>
          <w:tcPr>
            <w:tcW w:w="23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Цель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Данные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Правовое основание</w:t>
            </w:r>
          </w:p>
        </w:tc>
        <w:tc>
          <w:tcPr>
            <w:tcW w:w="251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Срок / критерий хранения</w:t>
            </w:r>
          </w:p>
        </w:tc>
      </w:tr>
      <w:tr>
        <w:trPr>
          <w:cantSplit w:val="true"/>
        </w:trPr>
        <w:tc>
          <w:tcPr>
            <w:tcW w:w="23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Принять обращение, связаться с заявителем, подготовить расчет или предложение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Контакты, содержание обращения, добровольно приложенные файлы, техническая запись отправки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Действия по инициативе субъекта до заключения договора; при выбранной Оператором модели - отдельное согласие</w:t>
            </w:r>
          </w:p>
        </w:tc>
        <w:tc>
          <w:tcPr>
            <w:tcW w:w="251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До завершения коммуникации; если договор не заключен - не более 12 месяцев после последнего содержательного контакта. Файлы, не нужные для договора, - не более 90 дней после ответа.</w:t>
            </w:r>
          </w:p>
        </w:tc>
      </w:tr>
      <w:tr>
        <w:trPr>
          <w:cantSplit w:val="true"/>
        </w:trPr>
        <w:tc>
          <w:tcPr>
            <w:tcW w:w="23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Заключить и исполнить договор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Данные представителей, деловая переписка, документы о полномочиях и исполнении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Заключение и исполнение договора; выполнение обязанностей, установленных законом</w:t>
            </w:r>
          </w:p>
        </w:tc>
        <w:tc>
          <w:tcPr>
            <w:tcW w:w="251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В течение договорных отношений и затем в сроки обязательного хранения и исковой давности, применимые к соответствующим документам.</w:t>
            </w:r>
          </w:p>
        </w:tc>
      </w:tr>
      <w:tr>
        <w:trPr>
          <w:cantSplit w:val="true"/>
        </w:trPr>
        <w:tc>
          <w:tcPr>
            <w:tcW w:w="23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Обеспечить работу и безопасность сайта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IP-адрес, журналы событий, данные браузера и устройства, сведения о действиях, необходимые для защиты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Выполнение обязанностей по защите данных; осуществление прав и законных интересов Оператора без нарушения прав субъекта</w:t>
            </w:r>
          </w:p>
        </w:tc>
        <w:tc>
          <w:tcPr>
            <w:tcW w:w="251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Как правило, до 12 месяцев, если более длительное хранение не требуется для расследования инцидента или исполнения закона.</w:t>
            </w:r>
          </w:p>
        </w:tc>
      </w:tr>
      <w:tr>
        <w:trPr>
          <w:cantSplit w:val="true"/>
        </w:trPr>
        <w:tc>
          <w:tcPr>
            <w:tcW w:w="23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Получать обезличенную статистику и улучшать сайт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Cookie, онлайн-идентификаторы, события просмотра и взаимодействия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Отдельное согласие на необязательные cookie и аналитику</w:t>
            </w:r>
          </w:p>
        </w:tc>
        <w:tc>
          <w:tcPr>
            <w:tcW w:w="251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В пределах настроек соответствующего сервиса и до отзыва согласия; выбор пользователя запрашивается повторно не реже одного раза в 12 месяцев.</w:t>
            </w:r>
          </w:p>
        </w:tc>
      </w:tr>
      <w:tr>
        <w:trPr>
          <w:cantSplit w:val="true"/>
        </w:trPr>
        <w:tc>
          <w:tcPr>
            <w:tcW w:w="23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Направлять рекламные и информационные сообщения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Имя и выбранные контакты, сведения о согласии, доставке и отказе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Отдельное предварительное согласие на рекламу и прямые контакты</w:t>
            </w:r>
          </w:p>
        </w:tc>
        <w:tc>
          <w:tcPr>
            <w:tcW w:w="251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До отзыва согласия или прекращения соответствующей программы; доказательство согласия и отказа хранится в пределах срока защиты прав Оператора.</w:t>
            </w:r>
          </w:p>
        </w:tc>
      </w:tr>
      <w:tr>
        <w:trPr>
          <w:cantSplit w:val="true"/>
        </w:trPr>
        <w:tc>
          <w:tcPr>
            <w:tcW w:w="233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Рассмотреть запрос субъекта или обращение госоргана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Данные заявителя, содержание и история рассмотрения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Выполнение обязанностей Оператора по закону</w:t>
            </w:r>
          </w:p>
        </w:tc>
        <w:tc>
          <w:tcPr>
            <w:tcW w:w="251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В течение рассмотрения и далее в срок, необходимый для подтверждения исполнения обязанности и защиты прав.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4.2. Конкретный срок может быть сокращен, если данные перестали быть необходимыми, согласие отозвано и отсутствует иное законное основание, цель достигнута либо обработка признана неправомерной.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4.3. Если одно и то же сведение входит в документы с разными законными сроками хранения, применяется срок, необходимый для соответствующего документа и цели; после прекращения активной обработки доступ ограничивается.</w:t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  <w:t>5. Порядок и способы обработки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Сбор непосредственно у субъекта через формы, электронную почту, телефон, переписку и документы, а также автоматический сбор технических данных при работе сайта.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Запись, систематизация, накопление, хранение, уточнение, извлечение, использование, предоставление уполномоченным получателям, обезличивание, блокирование, удаление и уничтожение.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Автоматизированная, неавтоматизированная и смешанная обработка.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Оператор не принимает решений, порождающих юридические последствия для субъекта, исключительно на основании автоматизированной обработки и не осуществляет общедоступное раскрытие данных без отдельного законного основания.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5.2. Предоставляя данные другого лица, пользователь подтверждает наличие полномочий и законного основания для такой передачи. Оператор вправе запросить подтверждение.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6. Cookie, аналитика и встроенные сервисы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6.1. Для технической работы сайта могут применяться необходимые cookie и локальные идентификаторы. Необязательные аналитические технологии активируются только после соответствующего выбора пользователя в панели настроек cookie.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6.2. После согласия может использоваться сервис «Яндекс Метрика», включая функции оценки посещаемости и взаимодействия. Провайдером сервиса является ООО «ЯНДЕКС». Карта «Яндекс Карты» должна загружаться только после действия пользователя или согласия на соответствующую категорию.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6.3. Пользователь может в любой момент изменить выбор через ссылку «Настройки cookie» в подвале сайта. Отзыв не влияет на законность обработки до отзыва. Подробности приведены в Политике использования cookie.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7. Передача и поручение обработки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7.1. Доступ к данным получают только работники Оператора, которым он необходим для должностных обязанностей, и привлеченные лица в объеме поручения. Такие лица обязаны соблюдать конфиденциальность и требования безопасности.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7.2. В зависимости от фактической архитектуры к обработке могут привлекаться российские поставщики хостинга, корпоративной электронной почты, CRM, телефонии, резервного копирования, технической поддержки, аналитики и карт. Договор поручения должен определять перечень данных и операций, цели, обязанности по конфиденциальности, локализации, безопасности, уведомлению об инцидентах и удалению данных.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7.3. Данные могут быть предоставлены государственным органам и иным лицам, если это прямо предусмотрено законом, необходимо для исполнения судебного акта или защиты прав Оператора и третьих лиц. Продажа баз персональных данных не осуществляется.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8. Локализация и трансграничная передача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8.1. При сборе персональных данных граждан Российской Федерации через сеть Интернет Оператор обеспечивает запись, систематизацию, накопление, хранение, уточнение и извлечение с использованием баз данных, находящихся на территории Российской Федерации, кроме прямо установленных законом случаев.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8.2. Трансграничная передача допускается только после выполнения требований статьи 12 Федерального закона № 152-ФЗ, оценки соответствующего иностранного государства и получателя, а также направления в Роскомнадзор отдельного уведомления, когда оно требуется. До выполнения этих действий сервис, вызывающий передачу за рубеж, не активируется.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9. Безопасность и действия при инцидентах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9.1. Оператор принимает необходимые правовые, организационные и технические меры: ограничивает и регистрирует доступ; применяет аутентификацию, обновление программного обеспечения, резервное копирование, защиту каналов и журналов; проверяет подрядчиков; обучает работников; устанавливает процедуры удаления и реагирования на инциденты.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9.2. При инциденте, повлекшем нарушение прав субъектов, Оператор проводит расследование, принимает меры по прекращению последствий и уведомляет Роскомнадзор в сроки и порядке, предусмотренные законом.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10. Права субъекта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Субъект вправе: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i w:val="false"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получать сведения об обработке своих персональных данных в объеме, предусмотренном законом;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требовать уточнения, блокирования или уничтожения неполных, устаревших, неточных, незаконно полученных или не нужных для заявленной цели данных;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отозвать согласие и отдельно отказаться от рекламных сообщений;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возражать против обработки, осуществляемой на основании законных интересов, с учетом предусмотренных законом ограничений;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обжаловать действия или бездействие Оператора в Роскомнадзор или в суд;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color w:val="000000"/>
          <w:sz w:val="22"/>
          <w:szCs w:val="22"/>
          <w:shd w:fill="auto" w:val="clear"/>
        </w:rPr>
        <w:t xml:space="preserve">- 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реализовывать иные права, предоставленные законодательством.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11. Порядок обращения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11.1. Запрос можно направить на info@maketbm.ru или по адресу Оператора. Для корректной идентификации следует указать фамилию, имя, контакт для ответа, характер отношений с Оператором, суть требования и сведения, позволяющие найти запись (например, дату обращения и использованный контакт).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11.2. Не направляйте копию паспорта по обычной электронной почте без отдельного запроса Оператора. Если имеются разумные сомнения в личности заявителя, Оператор предложит соразмерный безопасный способ подтверждения.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11.3. Ответ направляется в форме, соответствующей запросу и требованиям закона, в установленный законом срок. Оператор вправе отказать только по предусмотренным законом основаниям и сообщает мотивировку.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12. Данные несовершеннолетних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12.1. Сайт и услуги Оператора ориентированы на представителей бизнеса и совершеннолетних лиц. Оператор сознательно не запрашивает данные детей. Если законный представитель считает, что ребенок передал данные без надлежащего основания, он может обратиться по указанным контактам.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13. Изменение Политики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  <w:shd w:fill="auto" w:val="clear"/>
        </w:rPr>
        <w:t>13.1. Оператор пересматривает Политику при изменении законодательства, целей, состава данных, подрядчиков или технологий. Новая редакция действует с даты публикации, если в ней не установлен более поздний срок. Существенные изменения доводятся доступным способом.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14. Контакты Оператора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tbl>
      <w:tblPr>
        <w:tblStyle w:val="TableGrid"/>
        <w:tblW w:w="9575" w:type="dxa"/>
        <w:jc w:val="left"/>
        <w:tblInd w:w="142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noHBand="0" w:noVBand="1" w:firstColumn="1" w:lastRow="0" w:lastColumn="0" w:firstRow="1"/>
      </w:tblPr>
      <w:tblGrid>
        <w:gridCol w:w="2998"/>
        <w:gridCol w:w="6576"/>
      </w:tblGrid>
      <w:tr>
        <w:trPr>
          <w:tblHeader w:val="true"/>
          <w:cantSplit w:val="true"/>
        </w:trPr>
        <w:tc>
          <w:tcPr>
            <w:tcW w:w="299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Оператор</w:t>
            </w:r>
          </w:p>
        </w:tc>
        <w:tc>
          <w:tcPr>
            <w:tcW w:w="657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Общество с ограниченной ответственностью «БИЗНЕСМАКЕТ» (ООО «БИЗНЕСМАКЕТ»)</w:t>
            </w:r>
          </w:p>
        </w:tc>
      </w:tr>
      <w:tr>
        <w:trPr>
          <w:cantSplit w:val="true"/>
        </w:trPr>
        <w:tc>
          <w:tcPr>
            <w:tcW w:w="299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ОГРН / ИНН / КПП</w:t>
            </w:r>
          </w:p>
        </w:tc>
        <w:tc>
          <w:tcPr>
            <w:tcW w:w="657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5137746162659 / 7743909303 / 773301001</w:t>
            </w:r>
          </w:p>
        </w:tc>
      </w:tr>
      <w:tr>
        <w:trPr>
          <w:cantSplit w:val="true"/>
        </w:trPr>
        <w:tc>
          <w:tcPr>
            <w:tcW w:w="299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Адрес</w:t>
            </w:r>
          </w:p>
        </w:tc>
        <w:tc>
          <w:tcPr>
            <w:tcW w:w="657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125362, г. Москва, ул. Свободы, д. 35, стр. 5, помещ. 1, ком. 33</w:t>
            </w:r>
          </w:p>
        </w:tc>
      </w:tr>
      <w:tr>
        <w:trPr>
          <w:cantSplit w:val="true"/>
        </w:trPr>
        <w:tc>
          <w:tcPr>
            <w:tcW w:w="299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E-mail по вопросам данных</w:t>
            </w:r>
          </w:p>
        </w:tc>
        <w:tc>
          <w:tcPr>
            <w:tcW w:w="657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info@maketbm.ru</w:t>
            </w:r>
          </w:p>
        </w:tc>
      </w:tr>
      <w:tr>
        <w:trPr>
          <w:cantSplit w:val="true"/>
        </w:trPr>
        <w:tc>
          <w:tcPr>
            <w:tcW w:w="299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Телефон</w:t>
            </w:r>
          </w:p>
        </w:tc>
        <w:tc>
          <w:tcPr>
            <w:tcW w:w="657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+7 (495) 127-06-05</w:t>
            </w:r>
          </w:p>
        </w:tc>
      </w:tr>
      <w:tr>
        <w:trPr>
          <w:cantSplit w:val="true"/>
        </w:trPr>
        <w:tc>
          <w:tcPr>
            <w:tcW w:w="299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Сайт</w:t>
            </w:r>
          </w:p>
        </w:tc>
        <w:tc>
          <w:tcPr>
            <w:tcW w:w="657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shd w:fill="auto" w:val="clear"/>
                <w:lang w:val="en-US" w:eastAsia="en-US" w:bidi="ar-SA"/>
              </w:rPr>
              <w:t>https://businessmaket.ru/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91" w:right="1020" w:header="482" w:top="1134" w:footer="454" w:bottom="1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2"/>
      <w:pBdr>
        <w:bottom w:val="single" w:sz="6" w:space="2" w:color="B4C6E7"/>
      </w:pBdr>
      <w:jc w:val="left"/>
      <w:rPr/>
    </w:pPr>
    <w:r>
      <w:rPr>
        <w:b/>
        <w:color w:val="2E74B5"/>
        <w:sz w:val="16"/>
      </w:rPr>
      <w:t>BIZNESMAKET|</w:t>
    </w:r>
    <w:r>
      <w:rPr>
        <w:color w:val="44546A"/>
        <w:sz w:val="16"/>
      </w:rPr>
      <w:t>Политика обработки персональных данных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64" w:before="0" w:after="120"/>
      <w:jc w:val="left"/>
    </w:pPr>
    <w:rPr>
      <w:rFonts w:ascii="Calibri" w:hAnsi="Calibri" w:eastAsia="Calibri" w:cs=""/>
      <w:color w:val="1F2937"/>
      <w:kern w:val="0"/>
      <w:sz w:val="21"/>
      <w:szCs w:val="22"/>
      <w:lang w:val="en-US" w:eastAsia="en-US" w:bidi="ar-SA"/>
    </w:rPr>
  </w:style>
  <w:style w:type="paragraph" w:styleId="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320" w:after="16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32"/>
      <w:szCs w:val="28"/>
    </w:rPr>
  </w:style>
  <w:style w:type="paragraph" w:styleId="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40" w:after="12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26"/>
      <w:szCs w:val="26"/>
    </w:rPr>
  </w:style>
  <w:style w:type="paragraph" w:styleId="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160" w:after="8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1F4D78"/>
      <w:sz w:val="23"/>
    </w:rPr>
  </w:style>
  <w:style w:type="paragraph" w:styleId="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Style5">
    <w:name w:val="Выделение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Style6">
    <w:name w:val="Заголовок"/>
    <w:basedOn w:val="Normal"/>
    <w:next w:val="Style7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7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Style8">
    <w:name w:val="List"/>
    <w:basedOn w:val="Normal"/>
    <w:uiPriority w:val="99"/>
    <w:unhideWhenUsed/>
    <w:rsid w:val="00aa1d8d"/>
    <w:pPr>
      <w:spacing w:before="0" w:after="120"/>
      <w:ind w:left="360" w:hanging="360"/>
      <w:contextualSpacing/>
    </w:pPr>
    <w:rPr/>
  </w:style>
  <w:style w:type="paragraph" w:styleId="Style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1">
    <w:name w:val="Верхний и нижний колонтитулы"/>
    <w:basedOn w:val="Normal"/>
    <w:qFormat/>
    <w:pPr/>
    <w:rPr/>
  </w:style>
  <w:style w:type="paragraph" w:styleId="Style12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tyle13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Style14">
    <w:name w:val="Title"/>
    <w:basedOn w:val="Normal"/>
    <w:next w:val="Normal"/>
    <w:link w:val="TitleChar"/>
    <w:uiPriority w:val="10"/>
    <w:qFormat/>
    <w:rsid w:val="00fc693f"/>
    <w:pPr>
      <w:keepNext w:val="true"/>
      <w:pBdr>
        <w:bottom w:val="single" w:sz="8" w:space="4" w:color="4F81BD"/>
      </w:pBdr>
      <w:spacing w:lineRule="auto" w:line="240" w:before="0" w:after="280"/>
      <w:contextualSpacing/>
    </w:pPr>
    <w:rPr>
      <w:rFonts w:ascii="Calibri" w:hAnsi="Calibri" w:eastAsia="ＭＳ ゴシック" w:cs="" w:asciiTheme="majorHAnsi" w:cstheme="majorBidi" w:eastAsiaTheme="majorEastAsia" w:hAnsiTheme="majorHAnsi"/>
      <w:b/>
      <w:color w:val="17365D"/>
      <w:spacing w:val="5"/>
      <w:kern w:val="2"/>
      <w:sz w:val="44"/>
      <w:szCs w:val="52"/>
    </w:rPr>
  </w:style>
  <w:style w:type="paragraph" w:styleId="Style15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120"/>
      <w:ind w:left="720" w:hanging="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120"/>
      <w:contextualSpacing/>
    </w:pPr>
    <w:rPr/>
  </w:style>
  <w:style w:type="paragraph" w:styleId="ListBullet4">
    <w:name w:val="List Bullet 4"/>
    <w:basedOn w:val="Normal"/>
    <w:uiPriority w:val="99"/>
    <w:unhideWhenUsed/>
    <w:qFormat/>
    <w:rsid w:val="00326f90"/>
    <w:pPr>
      <w:spacing w:before="0" w:after="12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12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12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12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12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12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fc693f"/>
    <w:pPr/>
    <w:rPr/>
  </w:style>
  <w:style w:type="paragraph" w:styleId="DocSubtitle" w:customStyle="1">
    <w:name w:val="Doc Subtitle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22"/>
    </w:rPr>
  </w:style>
  <w:style w:type="paragraph" w:styleId="DocMeta" w:customStyle="1">
    <w:name w:val="Doc Meta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8"/>
    </w:rPr>
  </w:style>
  <w:style w:type="paragraph" w:styleId="SmallText" w:customStyle="1">
    <w:name w:val="Small Text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7"/>
    </w:rPr>
  </w:style>
  <w:style w:type="paragraph" w:styleId="LegalBullet" w:customStyle="1">
    <w:name w:val="Legal Bullet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paragraph" w:styleId="LegalNumber" w:customStyle="1">
    <w:name w:val="Legal Number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LibreOffice/7.0.4.2$Linux_X86_64 LibreOffice_project/dcf040e67528d9187c66b2379df5ea4407429775</Application>
  <AppVersion>15.0000</AppVersion>
  <Pages>5</Pages>
  <Words>1520</Words>
  <Characters>10922</Characters>
  <CharactersWithSpaces>12323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/>
  <dc:description>generated by python-docx</dc:description>
  <cp:keywords>персональные персональные персональные персональные данные cookie сайт согласие</cp:keywords>
  <dc:language>ru-RU</dc:language>
  <cp:lastModifiedBy/>
  <dcterms:modified xsi:type="dcterms:W3CDTF">2026-08-19T14:56:40Z</dcterms:modified>
  <cp:revision>6</cp:revision>
  <dc:subject>Юридические документы для сайта businessmaket.ru</dc:subject>
  <dc:title>Политика обработки персональных данных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